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E51F" w14:textId="5131F34C" w:rsidR="00DB4CC1" w:rsidRPr="004261FF" w:rsidRDefault="00615779" w:rsidP="00DB4CC1">
      <w:pPr>
        <w:jc w:val="center"/>
        <w:rPr>
          <w:b/>
          <w:bCs/>
          <w:sz w:val="40"/>
          <w:szCs w:val="40"/>
        </w:rPr>
      </w:pPr>
      <w:r w:rsidRPr="00615779">
        <w:rPr>
          <w:b/>
          <w:bCs/>
          <w:sz w:val="40"/>
          <w:szCs w:val="40"/>
        </w:rPr>
        <w:t>Appel d’offres pour le pilotage d’un système de collecte et de recyclage des déchets de filets de pêche en plastique a</w:t>
      </w:r>
      <w:r>
        <w:rPr>
          <w:b/>
          <w:bCs/>
          <w:sz w:val="40"/>
          <w:szCs w:val="40"/>
        </w:rPr>
        <w:t>u</w:t>
      </w:r>
      <w:r w:rsidR="00DE31D2">
        <w:rPr>
          <w:b/>
          <w:bCs/>
          <w:sz w:val="40"/>
          <w:szCs w:val="40"/>
        </w:rPr>
        <w:t xml:space="preserve"> Sénégal</w:t>
      </w:r>
    </w:p>
    <w:p w14:paraId="4D3B76D4" w14:textId="77777777" w:rsidR="00DB4CC1" w:rsidRPr="004261FF" w:rsidRDefault="00DB4CC1" w:rsidP="00DB4CC1">
      <w:pPr>
        <w:jc w:val="center"/>
        <w:rPr>
          <w:b/>
          <w:bCs/>
          <w:sz w:val="40"/>
          <w:szCs w:val="40"/>
        </w:rPr>
      </w:pPr>
    </w:p>
    <w:p w14:paraId="41D85C13" w14:textId="044F916A" w:rsidR="00DB4CC1" w:rsidRPr="007B7007" w:rsidRDefault="000A6034" w:rsidP="00DB4CC1">
      <w:pPr>
        <w:jc w:val="center"/>
        <w:rPr>
          <w:b/>
          <w:bCs/>
          <w:color w:val="056C40"/>
          <w:sz w:val="40"/>
          <w:szCs w:val="40"/>
        </w:rPr>
      </w:pPr>
      <w:r w:rsidRPr="000A6034">
        <w:rPr>
          <w:b/>
          <w:bCs/>
          <w:color w:val="056C40"/>
          <w:sz w:val="40"/>
          <w:szCs w:val="40"/>
        </w:rPr>
        <w:t>Instructions aux candidats</w:t>
      </w:r>
    </w:p>
    <w:p w14:paraId="18147CE0" w14:textId="77777777" w:rsidR="00DB4CC1" w:rsidRDefault="00DB4CC1" w:rsidP="00DB4CC1">
      <w:pPr>
        <w:jc w:val="center"/>
      </w:pPr>
    </w:p>
    <w:p w14:paraId="68C61E0D" w14:textId="7D7B3D29" w:rsidR="00DB4CC1" w:rsidRPr="004261FF" w:rsidRDefault="00AD6B43" w:rsidP="00DB4CC1">
      <w:pPr>
        <w:jc w:val="center"/>
        <w:rPr>
          <w:sz w:val="32"/>
          <w:szCs w:val="32"/>
        </w:rPr>
      </w:pPr>
      <w:r>
        <w:rPr>
          <w:sz w:val="32"/>
          <w:szCs w:val="32"/>
        </w:rPr>
        <w:t>Mai</w:t>
      </w:r>
      <w:r w:rsidR="00DB4CC1" w:rsidRPr="005F0D6D">
        <w:rPr>
          <w:sz w:val="32"/>
          <w:szCs w:val="32"/>
        </w:rPr>
        <w:t xml:space="preserve"> 2026</w:t>
      </w:r>
    </w:p>
    <w:p w14:paraId="78EE9D09" w14:textId="77777777" w:rsidR="00DB4CC1" w:rsidRDefault="00DB4CC1"/>
    <w:p w14:paraId="1AB2C2FE" w14:textId="77777777" w:rsidR="001942BE" w:rsidRDefault="001942BE" w:rsidP="00E55430">
      <w:pPr>
        <w:jc w:val="both"/>
      </w:pPr>
    </w:p>
    <w:p w14:paraId="0C31CEEA" w14:textId="3D15551C" w:rsidR="0085044A" w:rsidRPr="00B93AD7" w:rsidRDefault="00657133">
      <w:pPr>
        <w:pStyle w:val="Heading3"/>
        <w:numPr>
          <w:ilvl w:val="0"/>
          <w:numId w:val="16"/>
        </w:numPr>
        <w:jc w:val="both"/>
      </w:pPr>
      <w:bookmarkStart w:id="0" w:name="_Toc230106705"/>
      <w:r w:rsidRPr="00B93AD7">
        <w:t>Contexte et d</w:t>
      </w:r>
      <w:r w:rsidR="00635C8B" w:rsidRPr="00B93AD7">
        <w:t>escription du pilote</w:t>
      </w:r>
      <w:bookmarkEnd w:id="0"/>
    </w:p>
    <w:p w14:paraId="7A8C03D2" w14:textId="08E5C32D" w:rsidR="00657133" w:rsidRPr="00861D87" w:rsidRDefault="00657133" w:rsidP="00E55430">
      <w:pPr>
        <w:jc w:val="both"/>
      </w:pPr>
      <w:r w:rsidRPr="00861D87">
        <w:t>Le Secrétariat des conventions de Bâle, Rotterdam et Stockholm (BRS) a tout récemment lancé un projet intitulé « Renforcement des capacités pour le contrôle, la gestion et la réduction des déchets plastiques, conformément aux dispositions de la Convention de Bâle » (ci-après désigné comme « projet BRS-FFEM »). Financé par le Fonds français pour l’environnement mondial (FFEM), le projet a pour objectif de renforcer les capacités du Cap</w:t>
      </w:r>
      <w:r w:rsidR="00526312">
        <w:t>-</w:t>
      </w:r>
      <w:r w:rsidRPr="00861D87">
        <w:t>Vert et du Sénégal, ainsi que les pays francophones d'Afrique de l'Ouest, à remplir leurs obligations en vertu des amendements sur les déchets plastiques de la Convention de Bâle afin d’atteindre une meilleure protection de la santé humaine et de l'environnement contre les effets néfastes des déchets plastiques. Dans ce cadre, le projet comprend une série d’interventions pilotes pour réduire la génération de déchets plastiques et pour leur gestion écologiquement rationnelle.</w:t>
      </w:r>
      <w:r w:rsidR="00861D87">
        <w:t xml:space="preserve"> Les interventions pilotées au Sénégal comprennent </w:t>
      </w:r>
      <w:r w:rsidR="00861D87" w:rsidRPr="00861D87">
        <w:t>un système de collecte et de recyclage des déchets de filets de pêche plastiques</w:t>
      </w:r>
      <w:r w:rsidR="00861D87">
        <w:t>.</w:t>
      </w:r>
    </w:p>
    <w:p w14:paraId="2BA2AA43" w14:textId="236BBA48" w:rsidR="00861D87" w:rsidRDefault="00861D87" w:rsidP="00E55430">
      <w:pPr>
        <w:jc w:val="both"/>
      </w:pPr>
      <w:r>
        <w:t xml:space="preserve">Les déchets de filets de pêche en plastique sont une source majeure de déchets plastiques au niveau mondial, y compris au Sénégal. Le Sénégal possède un secteur </w:t>
      </w:r>
      <w:r w:rsidR="00526312">
        <w:t xml:space="preserve">important </w:t>
      </w:r>
      <w:r>
        <w:t xml:space="preserve">de la pêche artisanale et à petite échelle. Les pêcheurs utilisent divers types de filets de pêche en plastique (en particulier les </w:t>
      </w:r>
      <w:proofErr w:type="spellStart"/>
      <w:r>
        <w:t>monofilaments</w:t>
      </w:r>
      <w:proofErr w:type="spellEnd"/>
      <w:r>
        <w:t xml:space="preserve"> et les filets traditionnels, tous deux en </w:t>
      </w:r>
      <w:r w:rsidR="005236B4">
        <w:t>n</w:t>
      </w:r>
      <w:r>
        <w:t>ylon (polyamide 6</w:t>
      </w:r>
      <w:r w:rsidR="005D07B1">
        <w:t xml:space="preserve">, ou </w:t>
      </w:r>
      <w:r w:rsidR="00526312">
        <w:t>PA6</w:t>
      </w:r>
      <w:r>
        <w:t xml:space="preserve">), et les élingues (des cordes qui longent le filet et qui permettent de fixer les flotteurs, et celles-ci peuvent être en PA, en PP, en PES ou en PE). Cependant, il n’existe aucun système de collecte et de recyclage respectueux de l'environnement de ces filets une fois arrivés en fin de vie. Ces capacités étant absentes, les pêcheurs jettent donc fréquemment les déchets de filets de pêche dans l'océan ou sur les plages, ce qui représente une source importante de pollution plastique, affectant </w:t>
      </w:r>
      <w:r>
        <w:lastRenderedPageBreak/>
        <w:t>non seulement les écosystèmes, mais aussi mettant en danger les moyens de subsistance.</w:t>
      </w:r>
    </w:p>
    <w:p w14:paraId="3A56AB0E" w14:textId="024C60C3" w:rsidR="00861D87" w:rsidRDefault="00861D87" w:rsidP="00E55430">
      <w:pPr>
        <w:jc w:val="both"/>
      </w:pPr>
      <w:r>
        <w:t xml:space="preserve">Un pilote similaire entrepris dans le cadre d’un autre projet BRS au Ghana a révélé le principal obstacle à la collecte et au recyclage des déchets de filets de pêche en plastique : sans demande du marché et capacité de recyclage (que ce soit au niveau national ou via l'exportation), les pêcheurs n'ont pas d’incitation à organiser une telle collecte. En même temps, sans qu'une telle collecte soit organisée, il n'y a pas d’incitation pour les entreprises de gestion des déchets à s'engager dans de telles activités. Les marges bénéficiaires sont relativement faibles, ce qui signifie que l'opération ne devient rentable qu'après un certain temps d'exploitation. Compte tenu des risques d'investissement potentiels, les entreprises hésitent donc à faire le premier pas. Une initiative à </w:t>
      </w:r>
      <w:r w:rsidRPr="00861D87">
        <w:t>financement externe peut donc sortir de cette impasse et faciliter la mise en place d'un tel dispositif</w:t>
      </w:r>
      <w:r>
        <w:t>.</w:t>
      </w:r>
    </w:p>
    <w:p w14:paraId="61E2529F" w14:textId="20D831DF" w:rsidR="00224613" w:rsidRPr="00861D87" w:rsidRDefault="00861D87" w:rsidP="00E55430">
      <w:pPr>
        <w:jc w:val="both"/>
      </w:pPr>
      <w:r>
        <w:t>Par conséquent, u</w:t>
      </w:r>
      <w:r w:rsidR="00224613" w:rsidRPr="00861D87">
        <w:t xml:space="preserve">n appel d’offres est ouvert quant au pilotage d’un système de collecte et de recyclage des déchets de filets de pêche </w:t>
      </w:r>
      <w:r w:rsidR="00526312">
        <w:t xml:space="preserve">en </w:t>
      </w:r>
      <w:r w:rsidR="00224613" w:rsidRPr="00861D87">
        <w:t>plastique au Sénégal. Le pilote se fera dans les trois villes côtières jugées les plus pertinentes selon les critères définis</w:t>
      </w:r>
      <w:r w:rsidR="00526312">
        <w:t xml:space="preserve"> à la section </w:t>
      </w:r>
      <w:r w:rsidR="00526312">
        <w:fldChar w:fldCharType="begin"/>
      </w:r>
      <w:r w:rsidR="00526312">
        <w:instrText xml:space="preserve"> REF _Ref227254342 \r \h </w:instrText>
      </w:r>
      <w:r w:rsidR="00526312">
        <w:fldChar w:fldCharType="separate"/>
      </w:r>
      <w:r w:rsidR="00526312">
        <w:t>4</w:t>
      </w:r>
      <w:r w:rsidR="00526312">
        <w:fldChar w:fldCharType="end"/>
      </w:r>
      <w:r w:rsidR="00526312">
        <w:t xml:space="preserve"> ci-dessous</w:t>
      </w:r>
      <w:r w:rsidR="00224613" w:rsidRPr="00861D87">
        <w:t xml:space="preserve">. </w:t>
      </w:r>
    </w:p>
    <w:p w14:paraId="1F8BA83B" w14:textId="0DD24DBB" w:rsidR="00224613" w:rsidRPr="008B3343" w:rsidRDefault="00657133" w:rsidP="00E55430">
      <w:pPr>
        <w:jc w:val="both"/>
        <w:rPr>
          <w:b/>
          <w:bCs/>
        </w:rPr>
      </w:pPr>
      <w:r w:rsidRPr="008B3343">
        <w:rPr>
          <w:b/>
          <w:bCs/>
        </w:rPr>
        <w:t xml:space="preserve">Votre </w:t>
      </w:r>
      <w:r w:rsidR="00224613" w:rsidRPr="008B3343">
        <w:rPr>
          <w:b/>
          <w:bCs/>
        </w:rPr>
        <w:t xml:space="preserve">offre </w:t>
      </w:r>
      <w:r w:rsidRPr="008B3343">
        <w:rPr>
          <w:b/>
          <w:bCs/>
        </w:rPr>
        <w:t>quant à ce</w:t>
      </w:r>
      <w:r w:rsidR="00224613" w:rsidRPr="008B3343">
        <w:rPr>
          <w:b/>
          <w:bCs/>
        </w:rPr>
        <w:t xml:space="preserve"> pilote doit contenir les activités </w:t>
      </w:r>
      <w:r w:rsidR="00861D87" w:rsidRPr="008B3343">
        <w:rPr>
          <w:b/>
          <w:bCs/>
        </w:rPr>
        <w:t xml:space="preserve">décrites </w:t>
      </w:r>
      <w:r w:rsidR="00526312">
        <w:rPr>
          <w:b/>
          <w:bCs/>
        </w:rPr>
        <w:t>à</w:t>
      </w:r>
      <w:r w:rsidR="00861D87" w:rsidRPr="008B3343">
        <w:rPr>
          <w:b/>
          <w:bCs/>
        </w:rPr>
        <w:t xml:space="preserve"> la section </w:t>
      </w:r>
      <w:r w:rsidR="008B3343" w:rsidRPr="008B3343">
        <w:rPr>
          <w:b/>
          <w:bCs/>
        </w:rPr>
        <w:fldChar w:fldCharType="begin"/>
      </w:r>
      <w:r w:rsidR="008B3343" w:rsidRPr="008B3343">
        <w:rPr>
          <w:b/>
          <w:bCs/>
        </w:rPr>
        <w:instrText xml:space="preserve"> REF _Ref227602888 \r \h </w:instrText>
      </w:r>
      <w:r w:rsidR="008B3343">
        <w:rPr>
          <w:b/>
          <w:bCs/>
        </w:rPr>
        <w:instrText xml:space="preserve"> \* MERGEFORMAT </w:instrText>
      </w:r>
      <w:r w:rsidR="008B3343" w:rsidRPr="008B3343">
        <w:rPr>
          <w:b/>
          <w:bCs/>
        </w:rPr>
      </w:r>
      <w:r w:rsidR="008B3343" w:rsidRPr="008B3343">
        <w:rPr>
          <w:b/>
          <w:bCs/>
        </w:rPr>
        <w:fldChar w:fldCharType="separate"/>
      </w:r>
      <w:r w:rsidR="00F9416A">
        <w:rPr>
          <w:b/>
          <w:bCs/>
        </w:rPr>
        <w:t>2</w:t>
      </w:r>
      <w:r w:rsidR="008B3343" w:rsidRPr="008B3343">
        <w:rPr>
          <w:b/>
          <w:bCs/>
        </w:rPr>
        <w:fldChar w:fldCharType="end"/>
      </w:r>
      <w:r w:rsidR="00861D87" w:rsidRPr="008B3343">
        <w:rPr>
          <w:b/>
          <w:bCs/>
        </w:rPr>
        <w:t xml:space="preserve"> ci-dessous</w:t>
      </w:r>
      <w:r w:rsidR="00526312">
        <w:rPr>
          <w:b/>
          <w:bCs/>
        </w:rPr>
        <w:t>.</w:t>
      </w:r>
      <w:r w:rsidR="00224613" w:rsidRPr="008B3343">
        <w:rPr>
          <w:b/>
          <w:bCs/>
        </w:rPr>
        <w:t xml:space="preserve"> Les résultats attendus sont</w:t>
      </w:r>
      <w:r w:rsidR="008B3343" w:rsidRPr="008B3343">
        <w:rPr>
          <w:b/>
          <w:bCs/>
        </w:rPr>
        <w:t xml:space="preserve"> (cf. section </w:t>
      </w:r>
      <w:r w:rsidR="008B3343" w:rsidRPr="008B3343">
        <w:rPr>
          <w:b/>
          <w:bCs/>
        </w:rPr>
        <w:fldChar w:fldCharType="begin"/>
      </w:r>
      <w:r w:rsidR="008B3343" w:rsidRPr="008B3343">
        <w:rPr>
          <w:b/>
          <w:bCs/>
        </w:rPr>
        <w:instrText xml:space="preserve"> REF _Ref227603031 \r \h </w:instrText>
      </w:r>
      <w:r w:rsidR="008B3343">
        <w:rPr>
          <w:b/>
          <w:bCs/>
        </w:rPr>
        <w:instrText xml:space="preserve"> \* MERGEFORMAT </w:instrText>
      </w:r>
      <w:r w:rsidR="008B3343" w:rsidRPr="008B3343">
        <w:rPr>
          <w:b/>
          <w:bCs/>
        </w:rPr>
      </w:r>
      <w:r w:rsidR="008B3343" w:rsidRPr="008B3343">
        <w:rPr>
          <w:b/>
          <w:bCs/>
        </w:rPr>
        <w:fldChar w:fldCharType="separate"/>
      </w:r>
      <w:r w:rsidR="00F9416A">
        <w:rPr>
          <w:b/>
          <w:bCs/>
        </w:rPr>
        <w:t>3</w:t>
      </w:r>
      <w:r w:rsidR="008B3343" w:rsidRPr="008B3343">
        <w:rPr>
          <w:b/>
          <w:bCs/>
        </w:rPr>
        <w:fldChar w:fldCharType="end"/>
      </w:r>
      <w:r w:rsidR="008B3343" w:rsidRPr="008B3343">
        <w:rPr>
          <w:b/>
          <w:bCs/>
        </w:rPr>
        <w:t>)</w:t>
      </w:r>
      <w:r w:rsidR="00224613" w:rsidRPr="008B3343">
        <w:rPr>
          <w:b/>
          <w:bCs/>
        </w:rPr>
        <w:t> :</w:t>
      </w:r>
    </w:p>
    <w:p w14:paraId="126F84AE" w14:textId="52ACA055" w:rsidR="00526312" w:rsidRDefault="008B3343" w:rsidP="00526312">
      <w:pPr>
        <w:pStyle w:val="ListParagraph"/>
        <w:numPr>
          <w:ilvl w:val="0"/>
          <w:numId w:val="7"/>
        </w:numPr>
        <w:jc w:val="both"/>
      </w:pPr>
      <w:r w:rsidRPr="008B3343">
        <w:t>3 campagnes</w:t>
      </w:r>
      <w:r w:rsidR="00FE3077">
        <w:t xml:space="preserve"> </w:t>
      </w:r>
      <w:r w:rsidRPr="008B3343">
        <w:t>de sensibilisation et de formation des pêcheurs</w:t>
      </w:r>
      <w:r w:rsidR="00FE3077">
        <w:t xml:space="preserve"> </w:t>
      </w:r>
      <w:r w:rsidR="00FE3077" w:rsidRPr="00CA6556">
        <w:t>(une par ville côtièr</w:t>
      </w:r>
      <w:r w:rsidR="00FE3077">
        <w:t>e – pour les 3 villes côtières du pilote</w:t>
      </w:r>
      <w:r w:rsidR="00FE3077" w:rsidRPr="00CA6556">
        <w:t>)</w:t>
      </w:r>
      <w:r>
        <w:t> ;</w:t>
      </w:r>
    </w:p>
    <w:p w14:paraId="4D609D08" w14:textId="36FF0A3F" w:rsidR="005D7173" w:rsidRDefault="005D7173" w:rsidP="005D7173">
      <w:pPr>
        <w:pStyle w:val="ListParagraph"/>
        <w:numPr>
          <w:ilvl w:val="0"/>
          <w:numId w:val="7"/>
        </w:numPr>
        <w:jc w:val="both"/>
      </w:pPr>
      <w:r w:rsidRPr="00861D87">
        <w:t>3 points</w:t>
      </w:r>
      <w:r w:rsidR="005D07B1">
        <w:t xml:space="preserve"> </w:t>
      </w:r>
      <w:r w:rsidRPr="00861D87">
        <w:t>de collecte des filets de pêche usagés en vue de leur recyclage</w:t>
      </w:r>
      <w:r w:rsidR="00FE3077">
        <w:t xml:space="preserve"> (</w:t>
      </w:r>
      <w:r w:rsidR="00FE3077" w:rsidRPr="00CA6556">
        <w:t>une par ville côtière)</w:t>
      </w:r>
      <w:r w:rsidRPr="00861D87">
        <w:t> ;</w:t>
      </w:r>
    </w:p>
    <w:p w14:paraId="2F0C5E5D" w14:textId="450D36FD" w:rsidR="00526312" w:rsidRDefault="005D7173" w:rsidP="00526312">
      <w:pPr>
        <w:pStyle w:val="ListParagraph"/>
        <w:numPr>
          <w:ilvl w:val="0"/>
          <w:numId w:val="7"/>
        </w:numPr>
        <w:jc w:val="both"/>
      </w:pPr>
      <w:r>
        <w:t>3 points</w:t>
      </w:r>
      <w:r w:rsidR="005D07B1">
        <w:t xml:space="preserve"> </w:t>
      </w:r>
      <w:r>
        <w:t>de</w:t>
      </w:r>
      <w:r w:rsidR="00526312">
        <w:t xml:space="preserve"> stockage </w:t>
      </w:r>
      <w:r>
        <w:t>initial</w:t>
      </w:r>
      <w:r w:rsidR="00FE3077">
        <w:t xml:space="preserve"> </w:t>
      </w:r>
      <w:r w:rsidR="00FE3077" w:rsidRPr="00CA6556">
        <w:t>(une par ville côtière)</w:t>
      </w:r>
      <w:r>
        <w:t xml:space="preserve"> </w:t>
      </w:r>
      <w:r w:rsidR="005D07B1">
        <w:t xml:space="preserve">et 1 point de stockage central </w:t>
      </w:r>
      <w:r w:rsidR="00526312">
        <w:t>des filets collecté</w:t>
      </w:r>
      <w:r w:rsidR="005D07B1">
        <w:t>s</w:t>
      </w:r>
      <w:r>
        <w:t xml:space="preserve"> </w:t>
      </w:r>
      <w:r w:rsidR="00526312">
        <w:t>en vue de leur recyclage ;</w:t>
      </w:r>
    </w:p>
    <w:p w14:paraId="088CEFDA" w14:textId="77777777" w:rsidR="00526312" w:rsidRDefault="00526312" w:rsidP="00526312">
      <w:pPr>
        <w:pStyle w:val="ListParagraph"/>
        <w:numPr>
          <w:ilvl w:val="0"/>
          <w:numId w:val="7"/>
        </w:numPr>
        <w:jc w:val="both"/>
      </w:pPr>
      <w:r>
        <w:t>Au moins 200 tonnes de filets de pêche recyclés ;</w:t>
      </w:r>
    </w:p>
    <w:p w14:paraId="21DA3E69" w14:textId="30C6E85F" w:rsidR="00526312" w:rsidRDefault="00526312" w:rsidP="00526312">
      <w:pPr>
        <w:pStyle w:val="ListParagraph"/>
        <w:numPr>
          <w:ilvl w:val="0"/>
          <w:numId w:val="7"/>
        </w:numPr>
        <w:jc w:val="both"/>
      </w:pPr>
      <w:r>
        <w:t>La collecte continue des données pertinentes à l’évaluation du pilote, ainsi que des leçons apprises, des bonnes pratiques et des conclusions identifiées à cet effet</w:t>
      </w:r>
      <w:r w:rsidRPr="00227D5A">
        <w:t>.</w:t>
      </w:r>
      <w:r>
        <w:t xml:space="preserve"> </w:t>
      </w:r>
    </w:p>
    <w:p w14:paraId="41536872" w14:textId="71C4663D" w:rsidR="00224613" w:rsidRPr="008B3343" w:rsidRDefault="00224613" w:rsidP="00E55430">
      <w:pPr>
        <w:jc w:val="both"/>
        <w:rPr>
          <w:b/>
          <w:bCs/>
        </w:rPr>
      </w:pPr>
      <w:r w:rsidRPr="008B3343">
        <w:rPr>
          <w:b/>
          <w:bCs/>
        </w:rPr>
        <w:t xml:space="preserve">Période du </w:t>
      </w:r>
      <w:r w:rsidR="00FB100C">
        <w:rPr>
          <w:b/>
          <w:bCs/>
        </w:rPr>
        <w:t>projet</w:t>
      </w:r>
      <w:r w:rsidRPr="008B3343">
        <w:rPr>
          <w:b/>
          <w:bCs/>
        </w:rPr>
        <w:t xml:space="preserve"> : </w:t>
      </w:r>
      <w:r w:rsidR="00FB100C">
        <w:rPr>
          <w:b/>
          <w:bCs/>
        </w:rPr>
        <w:t xml:space="preserve">approximativement </w:t>
      </w:r>
      <w:r w:rsidRPr="008B3343">
        <w:rPr>
          <w:b/>
          <w:bCs/>
        </w:rPr>
        <w:t>30 mois.</w:t>
      </w:r>
    </w:p>
    <w:p w14:paraId="4ED1459C" w14:textId="77777777" w:rsidR="001942BE" w:rsidRPr="00B93AD7" w:rsidRDefault="001942BE" w:rsidP="00E55430">
      <w:pPr>
        <w:jc w:val="both"/>
      </w:pPr>
    </w:p>
    <w:p w14:paraId="06B7A6D2" w14:textId="4E87896D" w:rsidR="007B19F5" w:rsidRPr="00B93AD7" w:rsidRDefault="007B19F5">
      <w:pPr>
        <w:pStyle w:val="Heading3"/>
        <w:numPr>
          <w:ilvl w:val="0"/>
          <w:numId w:val="16"/>
        </w:numPr>
        <w:jc w:val="both"/>
      </w:pPr>
      <w:bookmarkStart w:id="1" w:name="_Ref227602888"/>
      <w:bookmarkStart w:id="2" w:name="_Toc230106706"/>
      <w:r w:rsidRPr="00B93AD7">
        <w:t>Cahier des charges</w:t>
      </w:r>
      <w:bookmarkEnd w:id="1"/>
      <w:bookmarkEnd w:id="2"/>
    </w:p>
    <w:p w14:paraId="76805C6F" w14:textId="11C59644" w:rsidR="00CF40C9" w:rsidRPr="00CF40C9" w:rsidRDefault="0098634C" w:rsidP="00E55430">
      <w:pPr>
        <w:jc w:val="both"/>
      </w:pPr>
      <w:r>
        <w:t>L’offre doit couvrir les activités suivantes :</w:t>
      </w:r>
    </w:p>
    <w:p w14:paraId="16717D85" w14:textId="77777777" w:rsidR="0085044A" w:rsidRDefault="0085044A">
      <w:pPr>
        <w:pStyle w:val="ListParagraph"/>
        <w:numPr>
          <w:ilvl w:val="0"/>
          <w:numId w:val="11"/>
        </w:numPr>
        <w:ind w:left="426"/>
        <w:jc w:val="both"/>
      </w:pPr>
      <w:r w:rsidRPr="008B3343">
        <w:rPr>
          <w:b/>
          <w:bCs/>
        </w:rPr>
        <w:t>Acheter et installer l'équipement :</w:t>
      </w:r>
      <w:r>
        <w:t xml:space="preserve"> Chacune des trois villes côtières sélectionnées disposera de balances, des presses et des conteneurs pour le stockage préliminaire.</w:t>
      </w:r>
    </w:p>
    <w:p w14:paraId="5EA1934C" w14:textId="77777777" w:rsidR="00626A6E" w:rsidRDefault="00626A6E">
      <w:pPr>
        <w:pStyle w:val="ListParagraph"/>
        <w:numPr>
          <w:ilvl w:val="0"/>
          <w:numId w:val="11"/>
        </w:numPr>
        <w:ind w:left="426"/>
        <w:jc w:val="both"/>
      </w:pPr>
      <w:r w:rsidRPr="008B3343">
        <w:rPr>
          <w:b/>
          <w:bCs/>
        </w:rPr>
        <w:lastRenderedPageBreak/>
        <w:t>Sensibiliser et former les pêcheurs :</w:t>
      </w:r>
      <w:r>
        <w:t xml:space="preserve"> Les pêcheurs de chacune des trois villes côtières sélectionnées sont sensibilisés sur les effets néfastes des filets de pêche jetés dans l'environnement ainsi que les impacts socio-économiques néfastes, et former les pêcheurs sur le bon nettoyage, tri et collecte des déchets de filets de pêche plastiques.</w:t>
      </w:r>
    </w:p>
    <w:p w14:paraId="1AE905D9" w14:textId="77777777" w:rsidR="0085044A" w:rsidRDefault="0085044A">
      <w:pPr>
        <w:pStyle w:val="ListParagraph"/>
        <w:numPr>
          <w:ilvl w:val="0"/>
          <w:numId w:val="11"/>
        </w:numPr>
        <w:ind w:left="426"/>
        <w:jc w:val="both"/>
      </w:pPr>
      <w:r w:rsidRPr="008B3343">
        <w:rPr>
          <w:b/>
          <w:bCs/>
        </w:rPr>
        <w:t>Collecter et stocker les filets de pêche :</w:t>
      </w:r>
      <w:r>
        <w:t xml:space="preserve"> Les pêcheurs nettoient et trient les filets de pêche et les amènent aux points de collecte où ils reçoivent une compensation financière. La compensation sera déterminée en consultation avec l'association des pêcheurs et les autres parties prenantes concernées. Les filets sont ensuite transportés vers les points de stockage initiaux (1 par ville côtière), où ils seront mis en balles de 45 à 60 Kg ; les filets sont achetés et transportés au lieu de stockage central, où ils seront conditionnés en balles de 500-600 Kg et préparés pour transport pour le recyclage.</w:t>
      </w:r>
    </w:p>
    <w:p w14:paraId="789227F3" w14:textId="12864D73" w:rsidR="0085044A" w:rsidRDefault="0085044A">
      <w:pPr>
        <w:pStyle w:val="ListParagraph"/>
        <w:numPr>
          <w:ilvl w:val="0"/>
          <w:numId w:val="11"/>
        </w:numPr>
        <w:ind w:left="426"/>
        <w:jc w:val="both"/>
      </w:pPr>
      <w:r w:rsidRPr="008B3343">
        <w:rPr>
          <w:b/>
          <w:bCs/>
        </w:rPr>
        <w:t>Recycler les filets de pêche :</w:t>
      </w:r>
      <w:r>
        <w:t xml:space="preserve"> Les options nationales et internationales de recyclage des filets seront évaluées de manière continue, car elles dépendent de divers facteurs qui évoluent, notamment le prix des plastiques recyclés, les coûts d'expédition et la capacité de recyclage nationale. Alors que la Convention de Bâle stipule que les déchets doivent être gérés aussi près que possible du point de génération, tant que cela est fait de manière écologiquement rationnelle, le Sénégal ne semble pas actuellement avoir la capacité de recyclage valorisant du </w:t>
      </w:r>
      <w:r w:rsidR="005236B4">
        <w:t>n</w:t>
      </w:r>
      <w:r>
        <w:t xml:space="preserve">ylon 6 (le matériel dont sont faits la plupart des filets). Dans ce contexte, la solution optimale est probablement d'exporter les filets pour les recycler. </w:t>
      </w:r>
      <w:r w:rsidRPr="00C75104">
        <w:t>La décision finale sera prise en consultation avec les parties prenantes et le comité de pilotage</w:t>
      </w:r>
      <w:r>
        <w:t xml:space="preserve"> du projet BRS-FFEM</w:t>
      </w:r>
      <w:r w:rsidRPr="00C75104">
        <w:t>.</w:t>
      </w:r>
    </w:p>
    <w:p w14:paraId="1A13987B" w14:textId="34D5231F" w:rsidR="0085044A" w:rsidRDefault="0085044A">
      <w:pPr>
        <w:pStyle w:val="ListParagraph"/>
        <w:numPr>
          <w:ilvl w:val="0"/>
          <w:numId w:val="11"/>
        </w:numPr>
        <w:ind w:left="426"/>
        <w:jc w:val="both"/>
      </w:pPr>
      <w:r w:rsidRPr="008B3343">
        <w:rPr>
          <w:b/>
          <w:bCs/>
        </w:rPr>
        <w:t>Collecter les données :</w:t>
      </w:r>
      <w:r w:rsidRPr="00043480">
        <w:t xml:space="preserve"> Les données seront recueillies tout au long de la durée du p</w:t>
      </w:r>
      <w:r w:rsidR="00227D5A">
        <w:t>ilote</w:t>
      </w:r>
      <w:r w:rsidRPr="00043480">
        <w:t xml:space="preserve"> (quantité de filets collectés, nombre de pêcheurs participants, dépenses et revenus générés, etc.) ; après environ 2 ans de fonctionnement, les données seront consolidées et analysées, et des entretiens seront organisés </w:t>
      </w:r>
      <w:r>
        <w:t xml:space="preserve">par le Secrétariat BRS </w:t>
      </w:r>
      <w:r w:rsidRPr="00043480">
        <w:t xml:space="preserve">avec les parties prenantes en vue d'identifier les facteurs de succès, le potentiel de </w:t>
      </w:r>
      <w:r w:rsidR="005D7173">
        <w:t>reproduction</w:t>
      </w:r>
      <w:r w:rsidRPr="00043480">
        <w:t xml:space="preserve"> et d'extension</w:t>
      </w:r>
      <w:r w:rsidR="005D7173">
        <w:t xml:space="preserve"> du pilote</w:t>
      </w:r>
      <w:r w:rsidRPr="00043480">
        <w:t>, la faisabilité économique, etc.</w:t>
      </w:r>
    </w:p>
    <w:p w14:paraId="70683F87" w14:textId="77777777" w:rsidR="00A0516B" w:rsidRDefault="00A0516B" w:rsidP="00E55430">
      <w:pPr>
        <w:jc w:val="both"/>
      </w:pPr>
    </w:p>
    <w:p w14:paraId="508838E7" w14:textId="5A69B449" w:rsidR="004A371B" w:rsidRPr="00B93AD7" w:rsidRDefault="004A371B">
      <w:pPr>
        <w:pStyle w:val="Heading3"/>
        <w:numPr>
          <w:ilvl w:val="0"/>
          <w:numId w:val="16"/>
        </w:numPr>
        <w:jc w:val="both"/>
      </w:pPr>
      <w:bookmarkStart w:id="3" w:name="_Ref227603031"/>
      <w:bookmarkStart w:id="4" w:name="_Toc230106707"/>
      <w:r w:rsidRPr="00B93AD7">
        <w:t>Calendrier des livrables</w:t>
      </w:r>
      <w:bookmarkEnd w:id="3"/>
      <w:bookmarkEnd w:id="4"/>
    </w:p>
    <w:tbl>
      <w:tblPr>
        <w:tblStyle w:val="TableGrid"/>
        <w:tblW w:w="0" w:type="auto"/>
        <w:tblLook w:val="04A0" w:firstRow="1" w:lastRow="0" w:firstColumn="1" w:lastColumn="0" w:noHBand="0" w:noVBand="1"/>
      </w:tblPr>
      <w:tblGrid>
        <w:gridCol w:w="2546"/>
        <w:gridCol w:w="4535"/>
        <w:gridCol w:w="1979"/>
      </w:tblGrid>
      <w:tr w:rsidR="00A0516B" w:rsidRPr="00CA6556" w14:paraId="44B1799C" w14:textId="77777777" w:rsidTr="00750478">
        <w:tc>
          <w:tcPr>
            <w:tcW w:w="2546" w:type="dxa"/>
            <w:shd w:val="clear" w:color="auto" w:fill="D9D9D9" w:themeFill="background1" w:themeFillShade="D9"/>
          </w:tcPr>
          <w:p w14:paraId="6BB1D89B" w14:textId="7CD601C8" w:rsidR="00A0516B" w:rsidRPr="00CA6556" w:rsidRDefault="00A0516B" w:rsidP="00E55430">
            <w:pPr>
              <w:jc w:val="both"/>
            </w:pPr>
            <w:r w:rsidRPr="00CA6556">
              <w:t>Activités</w:t>
            </w:r>
          </w:p>
        </w:tc>
        <w:tc>
          <w:tcPr>
            <w:tcW w:w="4535" w:type="dxa"/>
            <w:shd w:val="clear" w:color="auto" w:fill="D9D9D9" w:themeFill="background1" w:themeFillShade="D9"/>
          </w:tcPr>
          <w:p w14:paraId="20CF9A9C" w14:textId="390F50D7" w:rsidR="00A0516B" w:rsidRPr="00CA6556" w:rsidRDefault="00A0516B" w:rsidP="00E55430">
            <w:pPr>
              <w:jc w:val="both"/>
            </w:pPr>
            <w:r w:rsidRPr="00CA6556">
              <w:t>Livrables</w:t>
            </w:r>
          </w:p>
        </w:tc>
        <w:tc>
          <w:tcPr>
            <w:tcW w:w="1979" w:type="dxa"/>
            <w:shd w:val="clear" w:color="auto" w:fill="D9D9D9" w:themeFill="background1" w:themeFillShade="D9"/>
          </w:tcPr>
          <w:p w14:paraId="576B2684" w14:textId="43B5E13F" w:rsidR="00A0516B" w:rsidRPr="00CA6556" w:rsidRDefault="00A0516B" w:rsidP="00E55430">
            <w:pPr>
              <w:jc w:val="both"/>
            </w:pPr>
            <w:r w:rsidRPr="00CA6556">
              <w:t>Délais indicatifs</w:t>
            </w:r>
          </w:p>
        </w:tc>
      </w:tr>
      <w:tr w:rsidR="00750478" w:rsidRPr="00CA6556" w14:paraId="4211F29C" w14:textId="77777777" w:rsidTr="00750478">
        <w:tc>
          <w:tcPr>
            <w:tcW w:w="2546" w:type="dxa"/>
          </w:tcPr>
          <w:p w14:paraId="5707C4AE" w14:textId="4F396C4C" w:rsidR="00750478" w:rsidRPr="00CA6556" w:rsidRDefault="00750478" w:rsidP="001305B2">
            <w:r>
              <w:t xml:space="preserve">1. </w:t>
            </w:r>
            <w:r w:rsidRPr="00626A6E">
              <w:t>Acheter et installer l'équipement</w:t>
            </w:r>
          </w:p>
        </w:tc>
        <w:tc>
          <w:tcPr>
            <w:tcW w:w="4535" w:type="dxa"/>
          </w:tcPr>
          <w:p w14:paraId="6011374D" w14:textId="4A6B1B4C" w:rsidR="00750478" w:rsidRPr="00CA6556" w:rsidRDefault="00750478" w:rsidP="00750478">
            <w:pPr>
              <w:jc w:val="both"/>
            </w:pPr>
            <w:r w:rsidRPr="00CA6556">
              <w:t xml:space="preserve">3 points de collecte </w:t>
            </w:r>
            <w:r>
              <w:t xml:space="preserve">sont </w:t>
            </w:r>
            <w:r w:rsidRPr="00CA6556">
              <w:t>opérationnel</w:t>
            </w:r>
            <w:r>
              <w:t>s pour commencer la collecte.</w:t>
            </w:r>
          </w:p>
        </w:tc>
        <w:tc>
          <w:tcPr>
            <w:tcW w:w="1979" w:type="dxa"/>
          </w:tcPr>
          <w:p w14:paraId="0F837AFD" w14:textId="4D00FF45" w:rsidR="00750478" w:rsidRPr="004F7F69" w:rsidRDefault="00FE3077" w:rsidP="00750478">
            <w:pPr>
              <w:jc w:val="both"/>
            </w:pPr>
            <w:r>
              <w:t xml:space="preserve">Dès le </w:t>
            </w:r>
            <w:r w:rsidR="00750478" w:rsidRPr="004F7F69">
              <w:t>30 septembre 2026</w:t>
            </w:r>
            <w:r>
              <w:t xml:space="preserve"> et jusqu’au 3</w:t>
            </w:r>
            <w:r w:rsidR="00056A7E">
              <w:t>1</w:t>
            </w:r>
            <w:r>
              <w:t xml:space="preserve"> octobre 2028</w:t>
            </w:r>
          </w:p>
        </w:tc>
      </w:tr>
      <w:tr w:rsidR="00626A6E" w:rsidRPr="00CA6556" w14:paraId="7C29DFF4" w14:textId="77777777" w:rsidTr="00750478">
        <w:tc>
          <w:tcPr>
            <w:tcW w:w="2546" w:type="dxa"/>
          </w:tcPr>
          <w:p w14:paraId="34968146" w14:textId="1984A0AA" w:rsidR="00626A6E" w:rsidRPr="00CA6556" w:rsidRDefault="008B3343" w:rsidP="001305B2">
            <w:r>
              <w:t xml:space="preserve">2. </w:t>
            </w:r>
            <w:r w:rsidR="00626A6E" w:rsidRPr="00626A6E">
              <w:t>Sensibiliser et former les pêcheurs</w:t>
            </w:r>
          </w:p>
        </w:tc>
        <w:tc>
          <w:tcPr>
            <w:tcW w:w="4535" w:type="dxa"/>
          </w:tcPr>
          <w:p w14:paraId="0CEA2493" w14:textId="44997EBA" w:rsidR="00626A6E" w:rsidRPr="00CA6556" w:rsidRDefault="00626A6E" w:rsidP="003E6BD5">
            <w:pPr>
              <w:jc w:val="both"/>
            </w:pPr>
            <w:r w:rsidRPr="00CA6556">
              <w:t>3 campagnes</w:t>
            </w:r>
            <w:r>
              <w:t xml:space="preserve"> </w:t>
            </w:r>
            <w:r w:rsidRPr="00CA6556">
              <w:t xml:space="preserve">de sensibilisation </w:t>
            </w:r>
            <w:r>
              <w:t xml:space="preserve">et de formation </w:t>
            </w:r>
            <w:r w:rsidRPr="00CA6556">
              <w:t>des pêcheurs</w:t>
            </w:r>
            <w:r w:rsidR="005D07B1">
              <w:t>.</w:t>
            </w:r>
          </w:p>
        </w:tc>
        <w:tc>
          <w:tcPr>
            <w:tcW w:w="1979" w:type="dxa"/>
          </w:tcPr>
          <w:p w14:paraId="0D89D7D6" w14:textId="3E019BAD" w:rsidR="00626A6E" w:rsidRPr="004F7F69" w:rsidRDefault="00750478" w:rsidP="003E6BD5">
            <w:pPr>
              <w:jc w:val="both"/>
            </w:pPr>
            <w:r w:rsidRPr="004F7F69">
              <w:t>31 octobre 2026</w:t>
            </w:r>
          </w:p>
        </w:tc>
      </w:tr>
      <w:tr w:rsidR="001025CC" w:rsidRPr="00CA6556" w14:paraId="55222E66" w14:textId="77777777" w:rsidTr="00750478">
        <w:tc>
          <w:tcPr>
            <w:tcW w:w="2546" w:type="dxa"/>
          </w:tcPr>
          <w:p w14:paraId="4B62407B" w14:textId="01046ABF" w:rsidR="001025CC" w:rsidRDefault="001305B2" w:rsidP="001305B2">
            <w:r>
              <w:lastRenderedPageBreak/>
              <w:t>3</w:t>
            </w:r>
            <w:r w:rsidR="008B3343">
              <w:t xml:space="preserve">. </w:t>
            </w:r>
            <w:r w:rsidR="001025CC" w:rsidRPr="001025CC">
              <w:t>Collecter et stocker les filets de pêche</w:t>
            </w:r>
          </w:p>
        </w:tc>
        <w:tc>
          <w:tcPr>
            <w:tcW w:w="4535" w:type="dxa"/>
          </w:tcPr>
          <w:p w14:paraId="13508C6C" w14:textId="1C56DBD2" w:rsidR="001025CC" w:rsidRDefault="005D7173" w:rsidP="003E6BD5">
            <w:pPr>
              <w:jc w:val="both"/>
            </w:pPr>
            <w:r>
              <w:t>3 points de stockage initial et 1 point de stockage central des</w:t>
            </w:r>
            <w:r w:rsidR="001025CC">
              <w:t xml:space="preserve"> filets collectés en vue de leur recyclage.</w:t>
            </w:r>
          </w:p>
        </w:tc>
        <w:tc>
          <w:tcPr>
            <w:tcW w:w="1979" w:type="dxa"/>
          </w:tcPr>
          <w:p w14:paraId="1427C7A1" w14:textId="57B0127A" w:rsidR="001025CC" w:rsidRPr="004F7F69" w:rsidRDefault="00227D5A" w:rsidP="003E6BD5">
            <w:pPr>
              <w:jc w:val="both"/>
            </w:pPr>
            <w:r w:rsidRPr="004F7F69">
              <w:t xml:space="preserve">Dès le 1 </w:t>
            </w:r>
            <w:r w:rsidR="00750478" w:rsidRPr="004F7F69">
              <w:t xml:space="preserve">décembre </w:t>
            </w:r>
            <w:r w:rsidRPr="004F7F69">
              <w:t>2026</w:t>
            </w:r>
            <w:r w:rsidR="00FE3077">
              <w:t xml:space="preserve"> et jusqu’au 3</w:t>
            </w:r>
            <w:r w:rsidR="00056A7E">
              <w:t>1</w:t>
            </w:r>
            <w:r w:rsidR="00FE3077">
              <w:t xml:space="preserve"> octobre 2028</w:t>
            </w:r>
          </w:p>
        </w:tc>
      </w:tr>
      <w:tr w:rsidR="001025CC" w:rsidRPr="00CA6556" w14:paraId="4B2DC063" w14:textId="77777777" w:rsidTr="00750478">
        <w:tc>
          <w:tcPr>
            <w:tcW w:w="2546" w:type="dxa"/>
            <w:vMerge w:val="restart"/>
          </w:tcPr>
          <w:p w14:paraId="45951513" w14:textId="41E1EAC4" w:rsidR="001025CC" w:rsidRPr="00CA6556" w:rsidRDefault="001305B2" w:rsidP="001305B2">
            <w:r>
              <w:t>4</w:t>
            </w:r>
            <w:r w:rsidR="008B3343">
              <w:t xml:space="preserve">. </w:t>
            </w:r>
            <w:r w:rsidR="001025CC" w:rsidRPr="00626A6E">
              <w:t>Recycler les filets de pêche</w:t>
            </w:r>
          </w:p>
        </w:tc>
        <w:tc>
          <w:tcPr>
            <w:tcW w:w="4535" w:type="dxa"/>
          </w:tcPr>
          <w:p w14:paraId="035661E8" w14:textId="0B464FF8" w:rsidR="001025CC" w:rsidRPr="00CA6556" w:rsidRDefault="001025CC" w:rsidP="003E6BD5">
            <w:pPr>
              <w:jc w:val="both"/>
            </w:pPr>
            <w:r w:rsidRPr="00CA6556">
              <w:t xml:space="preserve">≥ </w:t>
            </w:r>
            <w:r>
              <w:t>1</w:t>
            </w:r>
            <w:r w:rsidRPr="00CA6556">
              <w:t>00 tonnes de filets recyclés.</w:t>
            </w:r>
          </w:p>
        </w:tc>
        <w:tc>
          <w:tcPr>
            <w:tcW w:w="1979" w:type="dxa"/>
          </w:tcPr>
          <w:p w14:paraId="23F6B941" w14:textId="34B1E815" w:rsidR="001025CC" w:rsidRPr="004F7F69" w:rsidRDefault="00227D5A" w:rsidP="003E6BD5">
            <w:pPr>
              <w:jc w:val="both"/>
            </w:pPr>
            <w:r w:rsidRPr="004F7F69">
              <w:t>31</w:t>
            </w:r>
            <w:r w:rsidR="001025CC" w:rsidRPr="004F7F69">
              <w:t xml:space="preserve"> </w:t>
            </w:r>
            <w:r w:rsidRPr="004F7F69">
              <w:t>décembre</w:t>
            </w:r>
            <w:r w:rsidR="001025CC" w:rsidRPr="004F7F69">
              <w:t xml:space="preserve"> 2027</w:t>
            </w:r>
          </w:p>
        </w:tc>
      </w:tr>
      <w:tr w:rsidR="001025CC" w:rsidRPr="00CA6556" w14:paraId="6B5372FE" w14:textId="77777777" w:rsidTr="00750478">
        <w:tc>
          <w:tcPr>
            <w:tcW w:w="2546" w:type="dxa"/>
            <w:vMerge/>
          </w:tcPr>
          <w:p w14:paraId="353A84A3" w14:textId="77777777" w:rsidR="001025CC" w:rsidRPr="00CA6556" w:rsidRDefault="001025CC" w:rsidP="001305B2"/>
        </w:tc>
        <w:tc>
          <w:tcPr>
            <w:tcW w:w="4535" w:type="dxa"/>
          </w:tcPr>
          <w:p w14:paraId="20FF1F8F" w14:textId="09EC1435" w:rsidR="001025CC" w:rsidRPr="00CA6556" w:rsidRDefault="001025CC" w:rsidP="003E6BD5">
            <w:pPr>
              <w:jc w:val="both"/>
            </w:pPr>
            <w:r w:rsidRPr="00CA6556">
              <w:t>≥ 200 tonnes de filets recyclés</w:t>
            </w:r>
            <w:r>
              <w:t xml:space="preserve"> (en tout depuis le début)</w:t>
            </w:r>
            <w:r w:rsidRPr="00CA6556">
              <w:t>.</w:t>
            </w:r>
          </w:p>
        </w:tc>
        <w:tc>
          <w:tcPr>
            <w:tcW w:w="1979" w:type="dxa"/>
          </w:tcPr>
          <w:p w14:paraId="766A6938" w14:textId="5A9CFF8E" w:rsidR="001025CC" w:rsidRPr="004F7F69" w:rsidRDefault="001025CC" w:rsidP="003E6BD5">
            <w:pPr>
              <w:jc w:val="both"/>
            </w:pPr>
            <w:r w:rsidRPr="004F7F69">
              <w:t>3</w:t>
            </w:r>
            <w:r w:rsidR="00056A7E">
              <w:t>1</w:t>
            </w:r>
            <w:r w:rsidRPr="004F7F69">
              <w:t xml:space="preserve"> octobre 2028</w:t>
            </w:r>
          </w:p>
        </w:tc>
      </w:tr>
      <w:tr w:rsidR="001025CC" w:rsidRPr="00CA6556" w14:paraId="1D239E2C" w14:textId="77777777" w:rsidTr="00750478">
        <w:tc>
          <w:tcPr>
            <w:tcW w:w="2546" w:type="dxa"/>
          </w:tcPr>
          <w:p w14:paraId="7B6F589B" w14:textId="5598323E" w:rsidR="001025CC" w:rsidRPr="00CA6556" w:rsidRDefault="001305B2" w:rsidP="001305B2">
            <w:r>
              <w:t>5</w:t>
            </w:r>
            <w:r w:rsidR="008B3343">
              <w:t xml:space="preserve">. </w:t>
            </w:r>
            <w:r w:rsidR="001025CC" w:rsidRPr="001025CC">
              <w:t>Collecter les données</w:t>
            </w:r>
          </w:p>
        </w:tc>
        <w:tc>
          <w:tcPr>
            <w:tcW w:w="4535" w:type="dxa"/>
          </w:tcPr>
          <w:p w14:paraId="79A72685" w14:textId="457DD6A0" w:rsidR="001025CC" w:rsidRPr="00CA6556" w:rsidRDefault="00227D5A" w:rsidP="003E6BD5">
            <w:pPr>
              <w:jc w:val="both"/>
            </w:pPr>
            <w:r>
              <w:t>Les données pertinentes à l’évaluation du pilote (en accord avec l’équipe du projet BRS-FFEM) sont collectées et à jour</w:t>
            </w:r>
            <w:r w:rsidRPr="00227D5A">
              <w:t>.</w:t>
            </w:r>
            <w:r w:rsidR="00FE3CD8">
              <w:t xml:space="preserve"> Les leçons apprises, les bonnes pratiques et les conclusions identifiées durant la mise en œuvre du pilote sont capturés dans un bref rapport (5 pages max.).</w:t>
            </w:r>
          </w:p>
        </w:tc>
        <w:tc>
          <w:tcPr>
            <w:tcW w:w="1979" w:type="dxa"/>
          </w:tcPr>
          <w:p w14:paraId="2EA47E3A" w14:textId="77777777" w:rsidR="001025CC" w:rsidRPr="004F7F69" w:rsidRDefault="001025CC" w:rsidP="003E6BD5">
            <w:pPr>
              <w:jc w:val="both"/>
            </w:pPr>
            <w:r w:rsidRPr="004F7F69">
              <w:t>Tout au long du pilote</w:t>
            </w:r>
            <w:r w:rsidR="00FE3CD8" w:rsidRPr="004F7F69">
              <w:t>.</w:t>
            </w:r>
          </w:p>
          <w:p w14:paraId="1C7DB208" w14:textId="0E0F4E86" w:rsidR="00FE3CD8" w:rsidRPr="004F7F69" w:rsidRDefault="00FE3CD8" w:rsidP="003E6BD5">
            <w:pPr>
              <w:jc w:val="both"/>
            </w:pPr>
            <w:r w:rsidRPr="004F7F69">
              <w:t>3</w:t>
            </w:r>
            <w:r w:rsidR="00056A7E">
              <w:t xml:space="preserve">0 septembre </w:t>
            </w:r>
            <w:r w:rsidRPr="004F7F69">
              <w:t>2028 pour le rapport de conclusion.</w:t>
            </w:r>
          </w:p>
        </w:tc>
      </w:tr>
    </w:tbl>
    <w:p w14:paraId="1D27B592" w14:textId="77777777" w:rsidR="00A0516B" w:rsidRDefault="00A0516B" w:rsidP="003E6BD5">
      <w:pPr>
        <w:jc w:val="both"/>
      </w:pPr>
    </w:p>
    <w:p w14:paraId="1F491B9F" w14:textId="466A68C2" w:rsidR="0085044A" w:rsidRPr="00CD018F" w:rsidRDefault="00635C8B">
      <w:pPr>
        <w:pStyle w:val="Heading3"/>
        <w:numPr>
          <w:ilvl w:val="0"/>
          <w:numId w:val="16"/>
        </w:numPr>
        <w:jc w:val="both"/>
      </w:pPr>
      <w:bookmarkStart w:id="5" w:name="_Ref227254342"/>
      <w:bookmarkStart w:id="6" w:name="_Toc230106708"/>
      <w:r w:rsidRPr="00CD018F">
        <w:t>Critères de qualification et d’évaluation</w:t>
      </w:r>
      <w:bookmarkEnd w:id="5"/>
      <w:bookmarkEnd w:id="6"/>
    </w:p>
    <w:p w14:paraId="203DDF1A" w14:textId="363CBD14" w:rsidR="004F6648" w:rsidRPr="001E184D" w:rsidRDefault="004F6648">
      <w:pPr>
        <w:pStyle w:val="ListParagraph"/>
        <w:numPr>
          <w:ilvl w:val="1"/>
          <w:numId w:val="16"/>
        </w:numPr>
        <w:snapToGrid w:val="0"/>
        <w:ind w:left="426"/>
        <w:jc w:val="both"/>
        <w:rPr>
          <w:b/>
          <w:bCs/>
        </w:rPr>
      </w:pPr>
      <w:r w:rsidRPr="001E184D">
        <w:rPr>
          <w:b/>
          <w:bCs/>
        </w:rPr>
        <w:t>Critères d’évaluation de l’offre</w:t>
      </w:r>
    </w:p>
    <w:p w14:paraId="7D986F69" w14:textId="0954E7D5" w:rsidR="00961F38" w:rsidRDefault="00961F38" w:rsidP="003E6BD5">
      <w:pPr>
        <w:jc w:val="both"/>
      </w:pPr>
      <w:r>
        <w:t xml:space="preserve">Votre </w:t>
      </w:r>
      <w:r w:rsidRPr="00961F38">
        <w:t>offre sera évalué</w:t>
      </w:r>
      <w:r>
        <w:t>e</w:t>
      </w:r>
      <w:r w:rsidRPr="00961F38">
        <w:t xml:space="preserve"> pour son respect des instructions offerte</w:t>
      </w:r>
      <w:r>
        <w:t>s</w:t>
      </w:r>
      <w:r w:rsidRPr="00961F38">
        <w:t xml:space="preserve"> dans le présent document et doit être</w:t>
      </w:r>
      <w:r>
        <w:t xml:space="preserve"> soumises par écrit sous forme électronique. Chaque candidat ne peut effectuer qu’une seule offre. Celle-ci est composée en </w:t>
      </w:r>
      <w:r w:rsidRPr="00961F38">
        <w:t>deux parties,</w:t>
      </w:r>
      <w:r>
        <w:t xml:space="preserve"> dont l’importance pour l’évaluation de l’offre est indiquée entre parenthèse</w:t>
      </w:r>
      <w:r w:rsidR="00056A7E">
        <w:t xml:space="preserve"> ci-dessous</w:t>
      </w:r>
      <w:r>
        <w:t xml:space="preserve"> : </w:t>
      </w:r>
    </w:p>
    <w:p w14:paraId="5BF7035B" w14:textId="6AEF741E" w:rsidR="00961F38" w:rsidRPr="00961F38" w:rsidRDefault="00961F38">
      <w:pPr>
        <w:pStyle w:val="ListParagraph"/>
        <w:numPr>
          <w:ilvl w:val="0"/>
          <w:numId w:val="12"/>
        </w:numPr>
        <w:jc w:val="both"/>
      </w:pPr>
      <w:r w:rsidRPr="00961F38">
        <w:t>Une proposition technique (70% de l’évaluati</w:t>
      </w:r>
      <w:r w:rsidR="00EB7EAF">
        <w:t>on</w:t>
      </w:r>
      <w:r w:rsidR="00EB7EAF" w:rsidRPr="00EB7EAF">
        <w:t xml:space="preserve"> de l’offre dans son ensemble</w:t>
      </w:r>
      <w:r w:rsidRPr="00961F38">
        <w:t>) ;</w:t>
      </w:r>
    </w:p>
    <w:p w14:paraId="2E48AFC6" w14:textId="3C260B22" w:rsidR="00961F38" w:rsidRPr="00961F38" w:rsidRDefault="00961F38">
      <w:pPr>
        <w:pStyle w:val="ListParagraph"/>
        <w:numPr>
          <w:ilvl w:val="0"/>
          <w:numId w:val="12"/>
        </w:numPr>
        <w:jc w:val="both"/>
      </w:pPr>
      <w:r w:rsidRPr="00961F38">
        <w:t>Une proposition financière (30% de l’évaluation</w:t>
      </w:r>
      <w:r w:rsidR="00EB7EAF" w:rsidRPr="00EB7EAF">
        <w:t xml:space="preserve"> de l’offre dans son ensemble</w:t>
      </w:r>
      <w:r w:rsidRPr="00961F38">
        <w:t>) ;</w:t>
      </w:r>
    </w:p>
    <w:p w14:paraId="39C3C19B" w14:textId="51732CC0" w:rsidR="00961F38" w:rsidRDefault="00961F38" w:rsidP="003E6BD5">
      <w:pPr>
        <w:jc w:val="both"/>
      </w:pPr>
      <w:r>
        <w:t>L’offre la plus compétitive en termes de rapport qualité-prix sera retenue.</w:t>
      </w:r>
    </w:p>
    <w:p w14:paraId="343EAF44" w14:textId="77777777" w:rsidR="00F9416A" w:rsidRDefault="00F9416A" w:rsidP="003E6BD5">
      <w:pPr>
        <w:jc w:val="both"/>
      </w:pPr>
    </w:p>
    <w:p w14:paraId="39E33BC0" w14:textId="30AA3F40" w:rsidR="004F6648" w:rsidRPr="001E184D" w:rsidRDefault="00056401">
      <w:pPr>
        <w:pStyle w:val="ListParagraph"/>
        <w:numPr>
          <w:ilvl w:val="0"/>
          <w:numId w:val="13"/>
        </w:numPr>
        <w:ind w:left="851"/>
        <w:jc w:val="both"/>
        <w:rPr>
          <w:b/>
          <w:bCs/>
        </w:rPr>
      </w:pPr>
      <w:r>
        <w:rPr>
          <w:b/>
          <w:bCs/>
        </w:rPr>
        <w:t>La proposition</w:t>
      </w:r>
      <w:r w:rsidR="004F6648" w:rsidRPr="001E184D">
        <w:rPr>
          <w:b/>
          <w:bCs/>
        </w:rPr>
        <w:t xml:space="preserve"> technique </w:t>
      </w:r>
      <w:r w:rsidR="00961F38" w:rsidRPr="001E184D">
        <w:rPr>
          <w:b/>
          <w:bCs/>
        </w:rPr>
        <w:t>(70% de l’évaluation</w:t>
      </w:r>
      <w:proofErr w:type="gramStart"/>
      <w:r w:rsidR="00961F38" w:rsidRPr="001E184D">
        <w:rPr>
          <w:b/>
          <w:bCs/>
        </w:rPr>
        <w:t>)</w:t>
      </w:r>
      <w:r w:rsidR="004F6648" w:rsidRPr="001E184D">
        <w:rPr>
          <w:b/>
          <w:bCs/>
        </w:rPr>
        <w:t>:</w:t>
      </w:r>
      <w:proofErr w:type="gramEnd"/>
    </w:p>
    <w:p w14:paraId="51FD134F" w14:textId="4181245D" w:rsidR="00EA3539" w:rsidRDefault="00453FBB" w:rsidP="003E6BD5">
      <w:pPr>
        <w:jc w:val="both"/>
      </w:pPr>
      <w:r>
        <w:t xml:space="preserve">La partie technique de l’offre (ou proposition technique) consiste en </w:t>
      </w:r>
      <w:r w:rsidR="00EA3539">
        <w:t xml:space="preserve">différentes sections pour vous présenter en tant que candidat à l’appel ainsi que pour présenter les aspects techniques de votre offre. </w:t>
      </w:r>
      <w:r w:rsidR="005A5D4B">
        <w:t xml:space="preserve">Celle-ci doit utiliser le formulaire conçu à cet effet, que vous pouvez télécharger </w:t>
      </w:r>
      <w:r w:rsidR="005A5D4B" w:rsidRPr="005D5932">
        <w:t>ici</w:t>
      </w:r>
      <w:r w:rsidR="005A5D4B">
        <w:t xml:space="preserve">. </w:t>
      </w:r>
      <w:r w:rsidR="00EA3539">
        <w:t>Les sections en question sont décrites ici-bas, avec l’indication de leur proportion quant à l’évaluation de votre proposition technique.</w:t>
      </w:r>
    </w:p>
    <w:p w14:paraId="034FA3A3" w14:textId="6CBF563B" w:rsidR="00EA3539" w:rsidRDefault="00EA3539">
      <w:pPr>
        <w:pStyle w:val="ListParagraph"/>
        <w:numPr>
          <w:ilvl w:val="0"/>
          <w:numId w:val="18"/>
        </w:numPr>
        <w:jc w:val="both"/>
      </w:pPr>
      <w:r w:rsidRPr="00087E0C">
        <w:rPr>
          <w:u w:val="single"/>
        </w:rPr>
        <w:t>Description du candidat (</w:t>
      </w:r>
      <w:r w:rsidR="00EB7EAF">
        <w:rPr>
          <w:u w:val="single"/>
        </w:rPr>
        <w:t>10</w:t>
      </w:r>
      <w:r w:rsidRPr="00087E0C">
        <w:rPr>
          <w:u w:val="single"/>
        </w:rPr>
        <w:t>%</w:t>
      </w:r>
      <w:r w:rsidR="00EB7EAF">
        <w:rPr>
          <w:u w:val="single"/>
        </w:rPr>
        <w:t xml:space="preserve"> de la partie technique</w:t>
      </w:r>
      <w:r w:rsidRPr="00087E0C">
        <w:rPr>
          <w:u w:val="single"/>
        </w:rPr>
        <w:t>) :</w:t>
      </w:r>
      <w:r>
        <w:t xml:space="preserve"> </w:t>
      </w:r>
      <w:r w:rsidR="005B4475">
        <w:t>E</w:t>
      </w:r>
      <w:r>
        <w:t xml:space="preserve">valuation de la pertinence de votre profil en tant que candidat </w:t>
      </w:r>
      <w:r w:rsidR="00087E0C">
        <w:t>en termes</w:t>
      </w:r>
      <w:r>
        <w:t xml:space="preserve"> d’expertise relative aux aspects techniques du pilote</w:t>
      </w:r>
      <w:r w:rsidR="00A4398B">
        <w:t xml:space="preserve"> et face aux critères de qualification de l’équipe décrits à la section </w:t>
      </w:r>
      <w:r w:rsidR="00A4398B" w:rsidRPr="00100DC4">
        <w:t>4.2</w:t>
      </w:r>
      <w:r w:rsidR="00A4398B">
        <w:t xml:space="preserve"> ci-dessous.</w:t>
      </w:r>
    </w:p>
    <w:p w14:paraId="12FEDAFC" w14:textId="2ABBB77F" w:rsidR="00EA3539" w:rsidRPr="005B4475" w:rsidRDefault="00EA3539">
      <w:pPr>
        <w:pStyle w:val="ListParagraph"/>
        <w:numPr>
          <w:ilvl w:val="0"/>
          <w:numId w:val="18"/>
        </w:numPr>
        <w:jc w:val="both"/>
        <w:rPr>
          <w:u w:val="single"/>
        </w:rPr>
      </w:pPr>
      <w:r w:rsidRPr="00087E0C">
        <w:rPr>
          <w:u w:val="single"/>
        </w:rPr>
        <w:t>Expérience du candidat (</w:t>
      </w:r>
      <w:r w:rsidR="00EB7EAF">
        <w:rPr>
          <w:u w:val="single"/>
        </w:rPr>
        <w:t>2</w:t>
      </w:r>
      <w:r w:rsidRPr="00087E0C">
        <w:rPr>
          <w:u w:val="single"/>
        </w:rPr>
        <w:t>0%)</w:t>
      </w:r>
      <w:r w:rsidR="00087E0C" w:rsidRPr="00087E0C">
        <w:rPr>
          <w:u w:val="single"/>
        </w:rPr>
        <w:t> :</w:t>
      </w:r>
      <w:r w:rsidR="005B4475">
        <w:t xml:space="preserve"> Evaluation de la pertinence de vos expériences passées pour la mise en œuvre du pilote, en termes de :</w:t>
      </w:r>
    </w:p>
    <w:p w14:paraId="5D295A4F" w14:textId="77689FC1" w:rsidR="005B4475" w:rsidRDefault="00991943">
      <w:pPr>
        <w:pStyle w:val="ListParagraph"/>
        <w:numPr>
          <w:ilvl w:val="1"/>
          <w:numId w:val="18"/>
        </w:numPr>
        <w:jc w:val="both"/>
      </w:pPr>
      <w:r>
        <w:lastRenderedPageBreak/>
        <w:t>N</w:t>
      </w:r>
      <w:r w:rsidR="005B4475">
        <w:t xml:space="preserve">ombre d’années d’expérience sur des aspects </w:t>
      </w:r>
      <w:r w:rsidR="005B4475" w:rsidRPr="005B4475">
        <w:t>technique</w:t>
      </w:r>
      <w:r w:rsidR="005B4475">
        <w:t>s similaires au pilote (le plus similaire le mieux) ;</w:t>
      </w:r>
    </w:p>
    <w:p w14:paraId="3A296F7D" w14:textId="5ACD7F0A" w:rsidR="005B4475" w:rsidRPr="005B4475" w:rsidRDefault="00991943">
      <w:pPr>
        <w:pStyle w:val="ListParagraph"/>
        <w:numPr>
          <w:ilvl w:val="1"/>
          <w:numId w:val="18"/>
        </w:numPr>
        <w:jc w:val="both"/>
      </w:pPr>
      <w:r>
        <w:t>Nombre d’années d’expérience sur l’engagement avec des parties prenantes similaires</w:t>
      </w:r>
      <w:r w:rsidR="005B4475">
        <w:t xml:space="preserve"> </w:t>
      </w:r>
      <w:r>
        <w:t>au pilote (le plus similaire le mieux).</w:t>
      </w:r>
    </w:p>
    <w:p w14:paraId="54EF8132" w14:textId="36FDC1F6" w:rsidR="00EA3539" w:rsidRPr="00087E0C" w:rsidRDefault="00087E0C">
      <w:pPr>
        <w:pStyle w:val="ListParagraph"/>
        <w:numPr>
          <w:ilvl w:val="0"/>
          <w:numId w:val="18"/>
        </w:numPr>
        <w:jc w:val="both"/>
        <w:rPr>
          <w:u w:val="single"/>
        </w:rPr>
      </w:pPr>
      <w:r w:rsidRPr="00087E0C">
        <w:rPr>
          <w:u w:val="single"/>
        </w:rPr>
        <w:t>Commentaires sur le cahier des charges (</w:t>
      </w:r>
      <w:r w:rsidR="00EB7EAF">
        <w:rPr>
          <w:u w:val="single"/>
        </w:rPr>
        <w:t>5</w:t>
      </w:r>
      <w:r w:rsidRPr="00087E0C">
        <w:rPr>
          <w:u w:val="single"/>
        </w:rPr>
        <w:t>%)</w:t>
      </w:r>
      <w:r>
        <w:rPr>
          <w:u w:val="single"/>
        </w:rPr>
        <w:t> :</w:t>
      </w:r>
      <w:r w:rsidR="005B4475">
        <w:t xml:space="preserve"> </w:t>
      </w:r>
      <w:r w:rsidR="00991943">
        <w:t>Evaluation de la compréhension du cahier des charges et de la pertinence des suggestions sur ce dernier et sur l’intervention pilote en soi.</w:t>
      </w:r>
    </w:p>
    <w:p w14:paraId="7193BD97" w14:textId="0EF27A9A" w:rsidR="00087E0C" w:rsidRPr="00087E0C" w:rsidRDefault="00087E0C">
      <w:pPr>
        <w:pStyle w:val="ListParagraph"/>
        <w:numPr>
          <w:ilvl w:val="0"/>
          <w:numId w:val="18"/>
        </w:numPr>
        <w:jc w:val="both"/>
        <w:rPr>
          <w:u w:val="single"/>
        </w:rPr>
      </w:pPr>
      <w:r w:rsidRPr="00087E0C">
        <w:rPr>
          <w:u w:val="single"/>
        </w:rPr>
        <w:t>Justification de l’intervention et analyse du contexte (1</w:t>
      </w:r>
      <w:r w:rsidR="00FB6674">
        <w:rPr>
          <w:u w:val="single"/>
        </w:rPr>
        <w:t>0</w:t>
      </w:r>
      <w:r w:rsidRPr="00087E0C">
        <w:rPr>
          <w:u w:val="single"/>
        </w:rPr>
        <w:t>%)</w:t>
      </w:r>
      <w:r>
        <w:rPr>
          <w:u w:val="single"/>
        </w:rPr>
        <w:t> :</w:t>
      </w:r>
      <w:r w:rsidR="005B4475">
        <w:t xml:space="preserve"> </w:t>
      </w:r>
      <w:r w:rsidR="0075465B">
        <w:t>Evaluation de la connaissance et de la compréhension des enjeux, de leurs causes, de leurs solutions et de leur contexte.</w:t>
      </w:r>
    </w:p>
    <w:p w14:paraId="3C43F502" w14:textId="0B932780" w:rsidR="00087E0C" w:rsidRPr="00087E0C" w:rsidRDefault="00087E0C">
      <w:pPr>
        <w:pStyle w:val="ListParagraph"/>
        <w:numPr>
          <w:ilvl w:val="0"/>
          <w:numId w:val="18"/>
        </w:numPr>
        <w:jc w:val="both"/>
        <w:rPr>
          <w:u w:val="single"/>
        </w:rPr>
      </w:pPr>
      <w:r w:rsidRPr="00087E0C">
        <w:rPr>
          <w:u w:val="single"/>
        </w:rPr>
        <w:t>Description de votre approche, méthodologie et planning (</w:t>
      </w:r>
      <w:r w:rsidR="00EB7EAF">
        <w:rPr>
          <w:u w:val="single"/>
        </w:rPr>
        <w:t>4</w:t>
      </w:r>
      <w:r w:rsidR="00FB6674">
        <w:rPr>
          <w:u w:val="single"/>
        </w:rPr>
        <w:t>5</w:t>
      </w:r>
      <w:r w:rsidRPr="00087E0C">
        <w:rPr>
          <w:u w:val="single"/>
        </w:rPr>
        <w:t>%)</w:t>
      </w:r>
      <w:r>
        <w:rPr>
          <w:u w:val="single"/>
        </w:rPr>
        <w:t> :</w:t>
      </w:r>
      <w:r w:rsidR="005B4475">
        <w:t xml:space="preserve"> </w:t>
      </w:r>
      <w:r w:rsidR="0075465B">
        <w:t xml:space="preserve">Evaluation de la pertinence </w:t>
      </w:r>
      <w:r w:rsidR="0064286A">
        <w:t>stratégique et technique</w:t>
      </w:r>
      <w:r w:rsidR="0075465B" w:rsidRPr="0064286A">
        <w:rPr>
          <w:color w:val="EE0000"/>
        </w:rPr>
        <w:t xml:space="preserve"> </w:t>
      </w:r>
      <w:r w:rsidR="0075465B">
        <w:t xml:space="preserve">de l’approche </w:t>
      </w:r>
      <w:r w:rsidR="0064286A">
        <w:t>générale de votre offre</w:t>
      </w:r>
      <w:r w:rsidR="0075465B">
        <w:t xml:space="preserve">, </w:t>
      </w:r>
      <w:r w:rsidR="0064286A">
        <w:t>et surtout de ses</w:t>
      </w:r>
      <w:r w:rsidR="0075465B">
        <w:t xml:space="preserve"> activités</w:t>
      </w:r>
      <w:r w:rsidR="0064286A">
        <w:t xml:space="preserve"> et tâches concrètes, du planning de ses dernières, des méthodes et outils utilisés, des résultats prévus, ainsi que des partenariats envisagés. L’évaluation attachera une attention particulière sur l’efficacité, l’efficience, la durabilité et l’impact démontrés par votre offre.</w:t>
      </w:r>
    </w:p>
    <w:p w14:paraId="035F9CAF" w14:textId="5602A812" w:rsidR="00113370" w:rsidRDefault="00087E0C">
      <w:pPr>
        <w:pStyle w:val="ListParagraph"/>
        <w:numPr>
          <w:ilvl w:val="0"/>
          <w:numId w:val="18"/>
        </w:numPr>
        <w:ind w:left="714" w:hanging="357"/>
        <w:jc w:val="both"/>
        <w:rPr>
          <w:u w:val="single"/>
        </w:rPr>
      </w:pPr>
      <w:r w:rsidRPr="00087E0C">
        <w:rPr>
          <w:u w:val="single"/>
        </w:rPr>
        <w:t>Présentation des acteurs et de leur rôles et responsabilités (</w:t>
      </w:r>
      <w:r w:rsidR="00EB7EAF">
        <w:rPr>
          <w:u w:val="single"/>
        </w:rPr>
        <w:t>1</w:t>
      </w:r>
      <w:r w:rsidRPr="00087E0C">
        <w:rPr>
          <w:u w:val="single"/>
        </w:rPr>
        <w:t>0%)</w:t>
      </w:r>
      <w:r>
        <w:rPr>
          <w:u w:val="single"/>
        </w:rPr>
        <w:t> :</w:t>
      </w:r>
      <w:r w:rsidR="005B4475">
        <w:t xml:space="preserve"> </w:t>
      </w:r>
      <w:r w:rsidR="00730906">
        <w:t>Evaluation de la compétence démontrée des membres de l’équipe pour la réalisation de ce pilote</w:t>
      </w:r>
      <w:r w:rsidR="00E43A69">
        <w:t xml:space="preserve"> (cf. critères de qualification de l’équipe à la section </w:t>
      </w:r>
      <w:r w:rsidR="00E43A69" w:rsidRPr="00100DC4">
        <w:t>4.2</w:t>
      </w:r>
      <w:r w:rsidR="00E43A69">
        <w:t xml:space="preserve"> ci-dessous)</w:t>
      </w:r>
      <w:r w:rsidR="00730906">
        <w:t xml:space="preserve">, ainsi que de la pertinence des acteurs impliqués et de l’attribution des rôles et responsabilités. </w:t>
      </w:r>
    </w:p>
    <w:p w14:paraId="372AFFED" w14:textId="77777777" w:rsidR="00F9416A" w:rsidRPr="00F9416A" w:rsidRDefault="00F9416A" w:rsidP="003E6BD5">
      <w:pPr>
        <w:snapToGrid w:val="0"/>
        <w:jc w:val="both"/>
        <w:rPr>
          <w:u w:val="single"/>
        </w:rPr>
      </w:pPr>
    </w:p>
    <w:p w14:paraId="43848842" w14:textId="3A43AF3C" w:rsidR="004F6648" w:rsidRPr="001E184D" w:rsidRDefault="00056401">
      <w:pPr>
        <w:pStyle w:val="ListParagraph"/>
        <w:numPr>
          <w:ilvl w:val="0"/>
          <w:numId w:val="13"/>
        </w:numPr>
        <w:ind w:left="709"/>
        <w:jc w:val="both"/>
        <w:rPr>
          <w:b/>
          <w:bCs/>
        </w:rPr>
      </w:pPr>
      <w:r>
        <w:rPr>
          <w:b/>
          <w:bCs/>
        </w:rPr>
        <w:t xml:space="preserve">La proposition </w:t>
      </w:r>
      <w:r w:rsidR="004F6648" w:rsidRPr="001E184D">
        <w:rPr>
          <w:b/>
          <w:bCs/>
        </w:rPr>
        <w:t>financière</w:t>
      </w:r>
      <w:r w:rsidR="00961F38" w:rsidRPr="001E184D">
        <w:rPr>
          <w:b/>
          <w:bCs/>
        </w:rPr>
        <w:t xml:space="preserve"> (30% de l’évaluation)</w:t>
      </w:r>
      <w:r w:rsidR="004F6648" w:rsidRPr="001E184D">
        <w:rPr>
          <w:b/>
          <w:bCs/>
        </w:rPr>
        <w:t> :</w:t>
      </w:r>
    </w:p>
    <w:p w14:paraId="269CD32D" w14:textId="3FE719B0" w:rsidR="00961F38" w:rsidRDefault="00961F38" w:rsidP="003E6BD5">
      <w:pPr>
        <w:jc w:val="both"/>
      </w:pPr>
      <w:r>
        <w:t>L’offre la plus compétitive en termes de rapport qualité-prix sera retenue.</w:t>
      </w:r>
      <w:r w:rsidR="00E11DCC">
        <w:t xml:space="preserve"> Par conséquent, le plus haut le niveau de résultat</w:t>
      </w:r>
      <w:r w:rsidR="00512581">
        <w:t>s</w:t>
      </w:r>
      <w:r w:rsidR="00E11DCC">
        <w:t xml:space="preserve"> obtenu</w:t>
      </w:r>
      <w:r w:rsidR="00512581">
        <w:t>s</w:t>
      </w:r>
      <w:r w:rsidR="00E11DCC">
        <w:t xml:space="preserve"> par l</w:t>
      </w:r>
      <w:r w:rsidR="00512581">
        <w:t xml:space="preserve">e budget alloué à cet effet par le projet BRS-FFEM, le mieux. Et inversement, </w:t>
      </w:r>
      <w:r w:rsidR="00E11DCC">
        <w:t xml:space="preserve">le plus bas l’aide financière demandée au projet BRS-FFEM pour </w:t>
      </w:r>
      <w:r w:rsidR="00512581">
        <w:t>l’accomplissement de ses résultats</w:t>
      </w:r>
      <w:r w:rsidR="00E11DCC">
        <w:t>, le mieux.</w:t>
      </w:r>
    </w:p>
    <w:p w14:paraId="3388E9A6" w14:textId="03C12A52" w:rsidR="00EB7EAF" w:rsidRPr="00A4398B" w:rsidRDefault="00EB7EAF">
      <w:pPr>
        <w:pStyle w:val="ListParagraph"/>
        <w:numPr>
          <w:ilvl w:val="0"/>
          <w:numId w:val="19"/>
        </w:numPr>
        <w:jc w:val="both"/>
        <w:rPr>
          <w:u w:val="single"/>
        </w:rPr>
      </w:pPr>
      <w:r w:rsidRPr="00A4398B">
        <w:rPr>
          <w:u w:val="single"/>
        </w:rPr>
        <w:t>Description des dépenses liées à l’offre (</w:t>
      </w:r>
      <w:r w:rsidR="00976FCC" w:rsidRPr="00A4398B">
        <w:rPr>
          <w:u w:val="single"/>
        </w:rPr>
        <w:t>30</w:t>
      </w:r>
      <w:r w:rsidRPr="00A4398B">
        <w:rPr>
          <w:u w:val="single"/>
        </w:rPr>
        <w:t>%)</w:t>
      </w:r>
      <w:r w:rsidR="00A4398B" w:rsidRPr="00A4398B">
        <w:rPr>
          <w:u w:val="single"/>
        </w:rPr>
        <w:t> :</w:t>
      </w:r>
      <w:r w:rsidR="00A4398B">
        <w:t xml:space="preserve"> </w:t>
      </w:r>
      <w:r w:rsidR="008F79BF">
        <w:t>Evaluation des facteurs suivants :</w:t>
      </w:r>
    </w:p>
    <w:p w14:paraId="79DEC215" w14:textId="3B82519C" w:rsidR="00497109" w:rsidRDefault="008F79BF">
      <w:pPr>
        <w:pStyle w:val="ListParagraph"/>
        <w:numPr>
          <w:ilvl w:val="1"/>
          <w:numId w:val="19"/>
        </w:numPr>
        <w:jc w:val="both"/>
      </w:pPr>
      <w:r>
        <w:t>Exhaustivité et niveau de détail des dépenses ;</w:t>
      </w:r>
    </w:p>
    <w:p w14:paraId="57D17575" w14:textId="031D835C" w:rsidR="008F79BF" w:rsidRDefault="008F79BF">
      <w:pPr>
        <w:pStyle w:val="ListParagraph"/>
        <w:numPr>
          <w:ilvl w:val="1"/>
          <w:numId w:val="19"/>
        </w:numPr>
        <w:jc w:val="both"/>
      </w:pPr>
      <w:r>
        <w:t>Niveau d’efficience et attractivité financière de l’offre ;</w:t>
      </w:r>
    </w:p>
    <w:p w14:paraId="137E7B1B" w14:textId="1993EB37" w:rsidR="00976FCC" w:rsidRDefault="00497109">
      <w:pPr>
        <w:pStyle w:val="ListParagraph"/>
        <w:numPr>
          <w:ilvl w:val="1"/>
          <w:numId w:val="19"/>
        </w:numPr>
        <w:jc w:val="both"/>
      </w:pPr>
      <w:r>
        <w:t xml:space="preserve">Importance de la contribution du candidat en termes de </w:t>
      </w:r>
      <w:r w:rsidR="00976FCC">
        <w:t>cofinanc</w:t>
      </w:r>
      <w:r>
        <w:t xml:space="preserve">ement </w:t>
      </w:r>
      <w:r w:rsidR="00A4398B">
        <w:t>à la réalisation du</w:t>
      </w:r>
      <w:r>
        <w:t xml:space="preserve"> pilote</w:t>
      </w:r>
      <w:r w:rsidR="008F79BF">
        <w:t>.</w:t>
      </w:r>
    </w:p>
    <w:p w14:paraId="6DCB4357" w14:textId="1D0DDBD3" w:rsidR="009333E4" w:rsidRPr="009333E4" w:rsidRDefault="00EB7EAF">
      <w:pPr>
        <w:pStyle w:val="ListParagraph"/>
        <w:numPr>
          <w:ilvl w:val="0"/>
          <w:numId w:val="19"/>
        </w:numPr>
        <w:jc w:val="both"/>
        <w:rPr>
          <w:u w:val="single"/>
        </w:rPr>
      </w:pPr>
      <w:r w:rsidRPr="00A4398B">
        <w:rPr>
          <w:u w:val="single"/>
        </w:rPr>
        <w:t>Description des recettes générées par l’offre (</w:t>
      </w:r>
      <w:r w:rsidR="001C6270">
        <w:rPr>
          <w:u w:val="single"/>
        </w:rPr>
        <w:t>20</w:t>
      </w:r>
      <w:r w:rsidRPr="00A4398B">
        <w:rPr>
          <w:u w:val="single"/>
        </w:rPr>
        <w:t>%)</w:t>
      </w:r>
      <w:r w:rsidR="00A4398B" w:rsidRPr="00A4398B">
        <w:rPr>
          <w:u w:val="single"/>
        </w:rPr>
        <w:t> :</w:t>
      </w:r>
      <w:r w:rsidR="00A4398B">
        <w:t xml:space="preserve"> </w:t>
      </w:r>
      <w:r w:rsidR="009333E4">
        <w:t>Evaluation des facteurs suivants :</w:t>
      </w:r>
    </w:p>
    <w:p w14:paraId="31D94E9C" w14:textId="7DF463C2" w:rsidR="009333E4" w:rsidRPr="009333E4" w:rsidRDefault="009333E4">
      <w:pPr>
        <w:pStyle w:val="ListParagraph"/>
        <w:numPr>
          <w:ilvl w:val="1"/>
          <w:numId w:val="19"/>
        </w:numPr>
        <w:jc w:val="both"/>
        <w:rPr>
          <w:u w:val="single"/>
        </w:rPr>
      </w:pPr>
      <w:r>
        <w:t>Exhaustivité et niveau de détail des recettes ;</w:t>
      </w:r>
    </w:p>
    <w:p w14:paraId="6498E69D" w14:textId="03270626" w:rsidR="009333E4" w:rsidRPr="00A4398B" w:rsidRDefault="009333E4">
      <w:pPr>
        <w:pStyle w:val="ListParagraph"/>
        <w:numPr>
          <w:ilvl w:val="1"/>
          <w:numId w:val="19"/>
        </w:numPr>
        <w:jc w:val="both"/>
        <w:rPr>
          <w:u w:val="single"/>
        </w:rPr>
      </w:pPr>
      <w:r>
        <w:t>Importance des recettes et de la rentabilité de l’offre.</w:t>
      </w:r>
    </w:p>
    <w:p w14:paraId="1D7A7F93" w14:textId="62163037" w:rsidR="00E11DCC" w:rsidRPr="00E11DCC" w:rsidRDefault="00EB7EAF">
      <w:pPr>
        <w:pStyle w:val="ListParagraph"/>
        <w:numPr>
          <w:ilvl w:val="0"/>
          <w:numId w:val="19"/>
        </w:numPr>
        <w:jc w:val="both"/>
        <w:rPr>
          <w:u w:val="single"/>
        </w:rPr>
      </w:pPr>
      <w:r w:rsidRPr="00A4398B">
        <w:rPr>
          <w:u w:val="single"/>
        </w:rPr>
        <w:t>Profits et retour sur investissements (</w:t>
      </w:r>
      <w:r w:rsidR="001C6270">
        <w:rPr>
          <w:u w:val="single"/>
        </w:rPr>
        <w:t>10</w:t>
      </w:r>
      <w:r w:rsidRPr="00A4398B">
        <w:rPr>
          <w:u w:val="single"/>
        </w:rPr>
        <w:t>%)</w:t>
      </w:r>
      <w:r w:rsidR="00A4398B" w:rsidRPr="00A4398B">
        <w:rPr>
          <w:u w:val="single"/>
        </w:rPr>
        <w:t> :</w:t>
      </w:r>
      <w:r w:rsidR="00A4398B">
        <w:t xml:space="preserve"> </w:t>
      </w:r>
      <w:r w:rsidR="00E11DCC">
        <w:t>Evaluation du niveau de profits générés et de la période de retours sur investissements. Le plus hauts le niveau de profit du pilote et le plus court la période de retour sur investissement le mieux.</w:t>
      </w:r>
    </w:p>
    <w:p w14:paraId="5D16FB93" w14:textId="02FDF304" w:rsidR="00EB7EAF" w:rsidRPr="00A4398B" w:rsidRDefault="00EB7EAF">
      <w:pPr>
        <w:pStyle w:val="ListParagraph"/>
        <w:numPr>
          <w:ilvl w:val="0"/>
          <w:numId w:val="19"/>
        </w:numPr>
        <w:jc w:val="both"/>
        <w:rPr>
          <w:u w:val="single"/>
        </w:rPr>
      </w:pPr>
      <w:r w:rsidRPr="00A4398B">
        <w:rPr>
          <w:u w:val="single"/>
        </w:rPr>
        <w:lastRenderedPageBreak/>
        <w:t>Résumé de la proposition financière (</w:t>
      </w:r>
      <w:r w:rsidR="001C6270">
        <w:rPr>
          <w:u w:val="single"/>
        </w:rPr>
        <w:t>4</w:t>
      </w:r>
      <w:r w:rsidR="00976FCC" w:rsidRPr="00A4398B">
        <w:rPr>
          <w:u w:val="single"/>
        </w:rPr>
        <w:t>0%)</w:t>
      </w:r>
      <w:r w:rsidR="00A4398B" w:rsidRPr="00A4398B">
        <w:rPr>
          <w:u w:val="single"/>
        </w:rPr>
        <w:t> :</w:t>
      </w:r>
      <w:r w:rsidR="00A4398B">
        <w:t xml:space="preserve"> </w:t>
      </w:r>
      <w:r w:rsidR="00E11DCC">
        <w:t>Evaluation de la qualité du tableau comptable</w:t>
      </w:r>
      <w:r w:rsidR="006E04B9">
        <w:t xml:space="preserve"> en termes de report des dépenses, ainsi que de la partie cofinancée par le candidat et celle demandée au projet BRS-FFEM.</w:t>
      </w:r>
    </w:p>
    <w:p w14:paraId="5A3D0BBD" w14:textId="77777777" w:rsidR="00056401" w:rsidRPr="00113370" w:rsidRDefault="00056401" w:rsidP="003E6BD5">
      <w:pPr>
        <w:jc w:val="both"/>
      </w:pPr>
    </w:p>
    <w:p w14:paraId="3E99EADC" w14:textId="6FD3EB7E" w:rsidR="00B01777" w:rsidRPr="001E184D" w:rsidRDefault="00B01777">
      <w:pPr>
        <w:pStyle w:val="ListParagraph"/>
        <w:numPr>
          <w:ilvl w:val="1"/>
          <w:numId w:val="16"/>
        </w:numPr>
        <w:snapToGrid w:val="0"/>
        <w:ind w:left="426"/>
        <w:jc w:val="both"/>
        <w:rPr>
          <w:b/>
          <w:bCs/>
        </w:rPr>
      </w:pPr>
      <w:r w:rsidRPr="001E184D">
        <w:rPr>
          <w:b/>
          <w:bCs/>
        </w:rPr>
        <w:t>Critère</w:t>
      </w:r>
      <w:r w:rsidR="004F6648" w:rsidRPr="001E184D">
        <w:rPr>
          <w:b/>
          <w:bCs/>
        </w:rPr>
        <w:t>s</w:t>
      </w:r>
      <w:r w:rsidRPr="001E184D">
        <w:rPr>
          <w:b/>
          <w:bCs/>
        </w:rPr>
        <w:t xml:space="preserve"> de qualification</w:t>
      </w:r>
      <w:r w:rsidR="004F6648" w:rsidRPr="001E184D">
        <w:rPr>
          <w:b/>
          <w:bCs/>
        </w:rPr>
        <w:t xml:space="preserve"> de l’équipe</w:t>
      </w:r>
    </w:p>
    <w:p w14:paraId="327919A8" w14:textId="0F2BE9C2" w:rsidR="00960D93" w:rsidRDefault="00056401" w:rsidP="003E6BD5">
      <w:pPr>
        <w:jc w:val="both"/>
      </w:pPr>
      <w:r w:rsidRPr="00056401">
        <w:t xml:space="preserve">Le pilote demandant un partenariat entre une organisation du secteur civil travaillant avec les pêcheurs (idéalement une association de pêcheurs) et des entreprises privées travaillant dans le secteur du négoce et/ou de la gestion des déchets, un consortium civil-privé est fortement conseillé pour la composition de votre équipe. </w:t>
      </w:r>
      <w:r w:rsidR="000C708A" w:rsidRPr="00E64EB8">
        <w:rPr>
          <w:u w:val="single"/>
        </w:rPr>
        <w:t>Dans son ensemble, les membre de votre équipe doivent couvrir les compétences suivantes</w:t>
      </w:r>
      <w:r w:rsidR="000C708A">
        <w:t> :</w:t>
      </w:r>
    </w:p>
    <w:p w14:paraId="1877462C" w14:textId="63426D9D" w:rsidR="000C708A" w:rsidRDefault="000C708A">
      <w:pPr>
        <w:pStyle w:val="ListParagraph"/>
        <w:numPr>
          <w:ilvl w:val="0"/>
          <w:numId w:val="20"/>
        </w:numPr>
        <w:jc w:val="both"/>
      </w:pPr>
      <w:r>
        <w:t>Minimum 10 ans d’expérience professionnelle dans le secteur de la pêche, idéalement au Sénégal ou au moins dans un pays au contexte équivalent ;</w:t>
      </w:r>
    </w:p>
    <w:p w14:paraId="36CCDB70" w14:textId="31C1C3C7" w:rsidR="000C708A" w:rsidRDefault="000C708A">
      <w:pPr>
        <w:pStyle w:val="ListParagraph"/>
        <w:numPr>
          <w:ilvl w:val="0"/>
          <w:numId w:val="20"/>
        </w:numPr>
        <w:jc w:val="both"/>
      </w:pPr>
      <w:r>
        <w:t>Minimum 10 ans d’expérience professionnelle dans le secteur du négoce des matières recyclables et/ou dans le recyclage des déchets plastiques</w:t>
      </w:r>
      <w:r w:rsidR="00E64EB8">
        <w:t>, idéalement au Sénégal ou au moins dans un pays au contexte</w:t>
      </w:r>
      <w:r w:rsidR="00E64EB8" w:rsidRPr="00E64EB8">
        <w:t xml:space="preserve"> </w:t>
      </w:r>
      <w:r w:rsidR="00E64EB8">
        <w:t>équivalent</w:t>
      </w:r>
      <w:r w:rsidR="008C7878">
        <w:t xml:space="preserve"> </w:t>
      </w:r>
      <w:r>
        <w:t>;</w:t>
      </w:r>
    </w:p>
    <w:p w14:paraId="7AA10623" w14:textId="7F27B7C4" w:rsidR="00543D94" w:rsidRDefault="00543D94">
      <w:pPr>
        <w:pStyle w:val="ListParagraph"/>
        <w:numPr>
          <w:ilvl w:val="0"/>
          <w:numId w:val="20"/>
        </w:numPr>
        <w:jc w:val="both"/>
      </w:pPr>
      <w:r>
        <w:t>Minimum 5 ans d’expérience dans les partenariats multipartites</w:t>
      </w:r>
      <w:r w:rsidR="00E64EB8">
        <w:t>, idéalement au Sénégal ou au moins dans un pays au contexte</w:t>
      </w:r>
      <w:r w:rsidR="00E64EB8" w:rsidRPr="00E64EB8">
        <w:t xml:space="preserve"> </w:t>
      </w:r>
      <w:r w:rsidR="00E64EB8">
        <w:t>équivalent</w:t>
      </w:r>
      <w:r w:rsidR="008C7878">
        <w:t xml:space="preserve"> </w:t>
      </w:r>
      <w:r>
        <w:t>;</w:t>
      </w:r>
    </w:p>
    <w:p w14:paraId="764867E9" w14:textId="0BD3F151" w:rsidR="00543D94" w:rsidRDefault="00543D94">
      <w:pPr>
        <w:pStyle w:val="ListParagraph"/>
        <w:numPr>
          <w:ilvl w:val="0"/>
          <w:numId w:val="20"/>
        </w:numPr>
        <w:jc w:val="both"/>
      </w:pPr>
      <w:r>
        <w:t>Minimum 2 ans d’expérience dans la mise en œuvre de projets pilotes ou de start-ups</w:t>
      </w:r>
      <w:r w:rsidR="00E64EB8">
        <w:t>, idéalement au Sénégal ou au moins dans un pays au contexte</w:t>
      </w:r>
      <w:r w:rsidR="00E64EB8" w:rsidRPr="00E64EB8">
        <w:t xml:space="preserve"> </w:t>
      </w:r>
      <w:r w:rsidR="00E64EB8">
        <w:t>équivalent</w:t>
      </w:r>
      <w:r w:rsidR="008C7878">
        <w:t xml:space="preserve"> </w:t>
      </w:r>
      <w:r>
        <w:t>;</w:t>
      </w:r>
    </w:p>
    <w:p w14:paraId="59305256" w14:textId="56E21D38" w:rsidR="000C708A" w:rsidRDefault="00543D94">
      <w:pPr>
        <w:pStyle w:val="ListParagraph"/>
        <w:numPr>
          <w:ilvl w:val="0"/>
          <w:numId w:val="20"/>
        </w:numPr>
        <w:jc w:val="both"/>
      </w:pPr>
      <w:r>
        <w:t xml:space="preserve">Un excellent réseau </w:t>
      </w:r>
      <w:r w:rsidR="008C7878">
        <w:t>au sein des secteurs de la pêche (idéalement des</w:t>
      </w:r>
      <w:r>
        <w:t xml:space="preserve"> associations de pêche</w:t>
      </w:r>
      <w:r w:rsidR="008C7878">
        <w:t>urs)</w:t>
      </w:r>
      <w:r>
        <w:t xml:space="preserve"> et de la gestion des déchets au Sénégal ;</w:t>
      </w:r>
    </w:p>
    <w:p w14:paraId="340978FE" w14:textId="471556AF" w:rsidR="000C708A" w:rsidRDefault="000C708A">
      <w:pPr>
        <w:pStyle w:val="ListParagraph"/>
        <w:numPr>
          <w:ilvl w:val="0"/>
          <w:numId w:val="20"/>
        </w:numPr>
        <w:jc w:val="both"/>
      </w:pPr>
      <w:r>
        <w:t>Une présence au Sénégal ;</w:t>
      </w:r>
    </w:p>
    <w:p w14:paraId="0EEEC54C" w14:textId="13FC34E3" w:rsidR="000C708A" w:rsidRPr="000C708A" w:rsidRDefault="00E64EB8">
      <w:pPr>
        <w:pStyle w:val="ListParagraph"/>
        <w:numPr>
          <w:ilvl w:val="0"/>
          <w:numId w:val="20"/>
        </w:numPr>
        <w:jc w:val="both"/>
      </w:pPr>
      <w:r>
        <w:t>La</w:t>
      </w:r>
      <w:r w:rsidR="000C708A">
        <w:t xml:space="preserve"> maîtrise du français </w:t>
      </w:r>
      <w:r w:rsidR="00543D94">
        <w:t>ainsi qu</w:t>
      </w:r>
      <w:r>
        <w:t>e d’</w:t>
      </w:r>
      <w:r w:rsidR="0034213F">
        <w:t>une langue nationale</w:t>
      </w:r>
      <w:r w:rsidR="00543D94">
        <w:t>.</w:t>
      </w:r>
    </w:p>
    <w:p w14:paraId="00CEB133" w14:textId="77777777" w:rsidR="00960D93" w:rsidRPr="00960D93" w:rsidRDefault="00960D93" w:rsidP="003E6BD5">
      <w:pPr>
        <w:jc w:val="both"/>
        <w:rPr>
          <w:highlight w:val="yellow"/>
        </w:rPr>
      </w:pPr>
    </w:p>
    <w:p w14:paraId="238A12E1" w14:textId="5AFCC05E" w:rsidR="00B01777" w:rsidRPr="00CD018F" w:rsidRDefault="00B01777">
      <w:pPr>
        <w:pStyle w:val="ListParagraph"/>
        <w:numPr>
          <w:ilvl w:val="1"/>
          <w:numId w:val="16"/>
        </w:numPr>
        <w:snapToGrid w:val="0"/>
        <w:ind w:left="426"/>
        <w:jc w:val="both"/>
        <w:rPr>
          <w:b/>
          <w:bCs/>
        </w:rPr>
      </w:pPr>
      <w:r w:rsidRPr="00CD018F">
        <w:rPr>
          <w:b/>
          <w:bCs/>
        </w:rPr>
        <w:t>Critère</w:t>
      </w:r>
      <w:r w:rsidR="004F6648" w:rsidRPr="00CD018F">
        <w:rPr>
          <w:b/>
          <w:bCs/>
        </w:rPr>
        <w:t>s</w:t>
      </w:r>
      <w:r w:rsidRPr="00CD018F">
        <w:rPr>
          <w:b/>
          <w:bCs/>
        </w:rPr>
        <w:t xml:space="preserve"> de sélection des sites</w:t>
      </w:r>
      <w:r w:rsidR="00CC78FC" w:rsidRPr="00CD018F">
        <w:rPr>
          <w:b/>
          <w:bCs/>
        </w:rPr>
        <w:t xml:space="preserve"> de l’intervention pilote</w:t>
      </w:r>
    </w:p>
    <w:p w14:paraId="719406B7" w14:textId="593D3254" w:rsidR="00B01777" w:rsidRDefault="00F9416A" w:rsidP="003E6BD5">
      <w:pPr>
        <w:jc w:val="both"/>
      </w:pPr>
      <w:r>
        <w:t>Le choix du lieu des sites revêt une importance toute particulière pour le succès d’une intervention. Ceci est d’autant plus vrai dans le cas de projets pilotes qui ont vocation d’augmenter l’étendu</w:t>
      </w:r>
      <w:r w:rsidR="002368D5">
        <w:t>e</w:t>
      </w:r>
      <w:r>
        <w:t xml:space="preserve"> géographique</w:t>
      </w:r>
      <w:r w:rsidR="002368D5">
        <w:t xml:space="preserve"> de la solution en question</w:t>
      </w:r>
      <w:r>
        <w:t xml:space="preserve"> ou de</w:t>
      </w:r>
      <w:r w:rsidR="002368D5">
        <w:t xml:space="preserve"> la</w:t>
      </w:r>
      <w:r>
        <w:t xml:space="preserve"> reproduire </w:t>
      </w:r>
      <w:r w:rsidR="002368D5">
        <w:t>à d’autres lieux</w:t>
      </w:r>
      <w:r>
        <w:t>.</w:t>
      </w:r>
      <w:r w:rsidR="002217FD">
        <w:t xml:space="preserve"> Vous trouverez ci-dessous les critères de sélection des sites proposés dans votre offre. Cette dernière devra donc justifier par écrit comment les sites que vous proposés remplissent ces critères.</w:t>
      </w:r>
    </w:p>
    <w:p w14:paraId="4A147B6B" w14:textId="510B2BB1" w:rsidR="001C2B0D" w:rsidRPr="001C2B0D" w:rsidRDefault="001C2B0D">
      <w:pPr>
        <w:pStyle w:val="ListParagraph"/>
        <w:numPr>
          <w:ilvl w:val="0"/>
          <w:numId w:val="22"/>
        </w:numPr>
        <w:jc w:val="both"/>
      </w:pPr>
      <w:r w:rsidRPr="001C2B0D">
        <w:rPr>
          <w:u w:val="single"/>
        </w:rPr>
        <w:t>Types de filets :</w:t>
      </w:r>
      <w:r>
        <w:t xml:space="preserve"> Les sites doivent offrir une masse critique de filets en nylon 6 (polyamide 6 – PA 6) pour assurer la rentabilité des opérations d’ici la fin du pilote.</w:t>
      </w:r>
    </w:p>
    <w:p w14:paraId="3C367BFB" w14:textId="45F10BFA" w:rsidR="00CD018F" w:rsidRDefault="00CD018F">
      <w:pPr>
        <w:pStyle w:val="ListParagraph"/>
        <w:numPr>
          <w:ilvl w:val="0"/>
          <w:numId w:val="22"/>
        </w:numPr>
        <w:jc w:val="both"/>
      </w:pPr>
      <w:r w:rsidRPr="00A42F85">
        <w:rPr>
          <w:u w:val="single"/>
        </w:rPr>
        <w:t>Impact :</w:t>
      </w:r>
      <w:r>
        <w:t xml:space="preserve"> Le</w:t>
      </w:r>
      <w:r w:rsidR="00A42F85">
        <w:t>s</w:t>
      </w:r>
      <w:r>
        <w:t xml:space="preserve"> site</w:t>
      </w:r>
      <w:r w:rsidR="00A42F85">
        <w:t>s</w:t>
      </w:r>
      <w:r>
        <w:t xml:space="preserve"> doi</w:t>
      </w:r>
      <w:r w:rsidR="00A42F85">
        <w:t>vent</w:t>
      </w:r>
      <w:r>
        <w:t xml:space="preserve"> offrir le meilleur potentiel en termes de quantité de filets</w:t>
      </w:r>
      <w:r w:rsidR="001C2B0D">
        <w:t xml:space="preserve"> nylon (PA 6)</w:t>
      </w:r>
      <w:r>
        <w:t xml:space="preserve"> collectés</w:t>
      </w:r>
      <w:r w:rsidR="00ED02CD">
        <w:t xml:space="preserve"> </w:t>
      </w:r>
      <w:r w:rsidR="001C2B0D">
        <w:t>de même</w:t>
      </w:r>
      <w:r w:rsidR="00ED02CD">
        <w:t xml:space="preserve"> qu’en terme</w:t>
      </w:r>
      <w:r w:rsidR="001C2B0D">
        <w:t>s</w:t>
      </w:r>
      <w:r w:rsidR="00ED02CD">
        <w:t xml:space="preserve"> de développement socio-économique </w:t>
      </w:r>
      <w:r w:rsidR="001C2B0D">
        <w:t>des</w:t>
      </w:r>
      <w:r w:rsidR="00ED02CD">
        <w:t xml:space="preserve"> communautés visées.</w:t>
      </w:r>
    </w:p>
    <w:p w14:paraId="6A98822F" w14:textId="73160C83" w:rsidR="00015808" w:rsidRDefault="00015808">
      <w:pPr>
        <w:pStyle w:val="ListParagraph"/>
        <w:numPr>
          <w:ilvl w:val="0"/>
          <w:numId w:val="22"/>
        </w:numPr>
        <w:jc w:val="both"/>
      </w:pPr>
      <w:r>
        <w:rPr>
          <w:u w:val="single"/>
        </w:rPr>
        <w:lastRenderedPageBreak/>
        <w:t>Soutient local :</w:t>
      </w:r>
      <w:r>
        <w:t xml:space="preserve"> Les sites doivent </w:t>
      </w:r>
      <w:r w:rsidR="001C2B0D">
        <w:t xml:space="preserve">faire l’objet d’un fort intérêt </w:t>
      </w:r>
      <w:r>
        <w:t xml:space="preserve">de la part des communautés de pêcheurs visées (à travers leurs représentants officiels, p.ex. les représentants d’associations pertinentes) ainsi que de la municipalité locale en question. </w:t>
      </w:r>
      <w:r w:rsidR="004676B6">
        <w:t xml:space="preserve">Cet intérêt doit être confirmé par un soutien officiel </w:t>
      </w:r>
      <w:r>
        <w:t>écrit (en format papier ou électronique) de</w:t>
      </w:r>
      <w:r w:rsidR="004676B6">
        <w:t>s</w:t>
      </w:r>
      <w:r>
        <w:t xml:space="preserve"> personne</w:t>
      </w:r>
      <w:r w:rsidR="004676B6">
        <w:t>s</w:t>
      </w:r>
      <w:r>
        <w:t xml:space="preserve"> faisant autorité</w:t>
      </w:r>
      <w:r w:rsidR="004676B6">
        <w:t>s</w:t>
      </w:r>
      <w:r>
        <w:t xml:space="preserve">. </w:t>
      </w:r>
      <w:r w:rsidR="004676B6">
        <w:t>Ces documents peuvent être joints à l’offre ou doivent pouvoir être fournis sous demande.</w:t>
      </w:r>
    </w:p>
    <w:p w14:paraId="57B91F87" w14:textId="399E7A73" w:rsidR="00A42F85" w:rsidRDefault="00A42F85">
      <w:pPr>
        <w:pStyle w:val="ListParagraph"/>
        <w:numPr>
          <w:ilvl w:val="0"/>
          <w:numId w:val="22"/>
        </w:numPr>
        <w:jc w:val="both"/>
      </w:pPr>
      <w:r>
        <w:rPr>
          <w:u w:val="single"/>
        </w:rPr>
        <w:t>Visibilité :</w:t>
      </w:r>
      <w:r>
        <w:t xml:space="preserve"> Les sites doivent offrir la meilleure visibilité possible pour les communautés de pêcheurs visées</w:t>
      </w:r>
      <w:r w:rsidR="004676B6">
        <w:t xml:space="preserve"> afin d’encourager l’implication de ces derniers</w:t>
      </w:r>
      <w:r>
        <w:t xml:space="preserve">. </w:t>
      </w:r>
    </w:p>
    <w:p w14:paraId="4A1062A6" w14:textId="7A858649" w:rsidR="002217FD" w:rsidRDefault="00CD018F">
      <w:pPr>
        <w:pStyle w:val="ListParagraph"/>
        <w:numPr>
          <w:ilvl w:val="0"/>
          <w:numId w:val="22"/>
        </w:numPr>
        <w:jc w:val="both"/>
      </w:pPr>
      <w:r w:rsidRPr="00CD018F">
        <w:rPr>
          <w:u w:val="single"/>
        </w:rPr>
        <w:t>Accessibilité :</w:t>
      </w:r>
      <w:r>
        <w:t xml:space="preserve"> Le</w:t>
      </w:r>
      <w:r w:rsidR="00ED02CD">
        <w:t>s</w:t>
      </w:r>
      <w:r>
        <w:t xml:space="preserve"> site</w:t>
      </w:r>
      <w:r w:rsidR="00ED02CD">
        <w:t>s</w:t>
      </w:r>
      <w:r>
        <w:t xml:space="preserve"> </w:t>
      </w:r>
      <w:r w:rsidR="00ED02CD">
        <w:t xml:space="preserve">doivent </w:t>
      </w:r>
      <w:r>
        <w:t>être facilement accessible</w:t>
      </w:r>
      <w:r w:rsidR="00ED02CD">
        <w:t>s</w:t>
      </w:r>
      <w:r>
        <w:t xml:space="preserve"> à la fois aux pêcheurs</w:t>
      </w:r>
      <w:r w:rsidR="004676B6">
        <w:t xml:space="preserve"> amenant les filets </w:t>
      </w:r>
      <w:r>
        <w:t xml:space="preserve">et aux véhicules transportant </w:t>
      </w:r>
      <w:r w:rsidR="00011198">
        <w:t>les filets</w:t>
      </w:r>
      <w:r w:rsidR="004676B6">
        <w:t xml:space="preserve"> </w:t>
      </w:r>
      <w:r w:rsidR="00011198">
        <w:t>achetés</w:t>
      </w:r>
      <w:r>
        <w:t xml:space="preserve"> jusqu’au lieu de stockage centrale. </w:t>
      </w:r>
    </w:p>
    <w:p w14:paraId="3C68ED80" w14:textId="4027C618" w:rsidR="00CD018F" w:rsidRDefault="00CD018F">
      <w:pPr>
        <w:pStyle w:val="ListParagraph"/>
        <w:numPr>
          <w:ilvl w:val="0"/>
          <w:numId w:val="22"/>
        </w:numPr>
        <w:jc w:val="both"/>
      </w:pPr>
      <w:r w:rsidRPr="00CD018F">
        <w:rPr>
          <w:u w:val="single"/>
        </w:rPr>
        <w:t>Réplicabilité :</w:t>
      </w:r>
      <w:r>
        <w:t xml:space="preserve"> Le</w:t>
      </w:r>
      <w:r w:rsidR="00ED02CD">
        <w:t>s</w:t>
      </w:r>
      <w:r>
        <w:t xml:space="preserve"> site </w:t>
      </w:r>
      <w:r w:rsidR="00ED02CD">
        <w:t xml:space="preserve">doivent </w:t>
      </w:r>
      <w:r>
        <w:t>être suffisamment représentatif</w:t>
      </w:r>
      <w:r w:rsidR="00ED02CD">
        <w:t>s</w:t>
      </w:r>
      <w:r>
        <w:t xml:space="preserve"> des autres sites potentiels </w:t>
      </w:r>
      <w:r w:rsidR="00ED02CD">
        <w:t>pour reproduire la solution</w:t>
      </w:r>
      <w:r>
        <w:t xml:space="preserve"> pilote s</w:t>
      </w:r>
      <w:r w:rsidR="00ED02CD">
        <w:t xml:space="preserve">i celle-ci </w:t>
      </w:r>
      <w:r>
        <w:t xml:space="preserve">s’avère un succès. </w:t>
      </w:r>
    </w:p>
    <w:p w14:paraId="27C4397E" w14:textId="696EC0A4" w:rsidR="00ED02CD" w:rsidRDefault="00ED02CD">
      <w:pPr>
        <w:pStyle w:val="ListParagraph"/>
        <w:numPr>
          <w:ilvl w:val="0"/>
          <w:numId w:val="22"/>
        </w:numPr>
        <w:jc w:val="both"/>
      </w:pPr>
      <w:r>
        <w:rPr>
          <w:u w:val="single"/>
        </w:rPr>
        <w:t>Durabilité :</w:t>
      </w:r>
      <w:r>
        <w:t xml:space="preserve"> Les sites doivent démontrer </w:t>
      </w:r>
      <w:r w:rsidR="00F808B7">
        <w:t>que la solution pilotée sera continuée une fois la période pilote terminée.</w:t>
      </w:r>
    </w:p>
    <w:p w14:paraId="7465D599" w14:textId="77777777" w:rsidR="00056401" w:rsidRDefault="00056401" w:rsidP="003E6BD5">
      <w:pPr>
        <w:jc w:val="both"/>
        <w:rPr>
          <w:highlight w:val="yellow"/>
        </w:rPr>
      </w:pPr>
    </w:p>
    <w:p w14:paraId="4836D6CD" w14:textId="5E6B149D" w:rsidR="00056401" w:rsidRPr="005F0D6D" w:rsidRDefault="00056401">
      <w:pPr>
        <w:pStyle w:val="Heading3"/>
        <w:numPr>
          <w:ilvl w:val="0"/>
          <w:numId w:val="16"/>
        </w:numPr>
        <w:jc w:val="both"/>
      </w:pPr>
      <w:bookmarkStart w:id="7" w:name="_Toc230106709"/>
      <w:r w:rsidRPr="005F0D6D">
        <w:t>Documents requis pour votre offre</w:t>
      </w:r>
      <w:bookmarkEnd w:id="7"/>
    </w:p>
    <w:p w14:paraId="148F651F" w14:textId="6255888D" w:rsidR="00473580" w:rsidRDefault="005A5D4B" w:rsidP="003E6BD5">
      <w:pPr>
        <w:jc w:val="both"/>
      </w:pPr>
      <w:r>
        <w:t>Votre offre doit être composée des documents ci-dessous :</w:t>
      </w:r>
    </w:p>
    <w:p w14:paraId="6362B0F3" w14:textId="4A066BEA" w:rsidR="005A5D4B" w:rsidRPr="001E7E51" w:rsidRDefault="005A5D4B">
      <w:pPr>
        <w:pStyle w:val="ListParagraph"/>
        <w:numPr>
          <w:ilvl w:val="0"/>
          <w:numId w:val="21"/>
        </w:numPr>
        <w:jc w:val="both"/>
      </w:pPr>
      <w:r w:rsidRPr="001E7E51">
        <w:t>Une proposition technique (</w:t>
      </w:r>
      <w:r>
        <w:t>veuillez t</w:t>
      </w:r>
      <w:r w:rsidR="00E37683">
        <w:t xml:space="preserve">rouver en annexe </w:t>
      </w:r>
      <w:r w:rsidRPr="001E7E51">
        <w:t xml:space="preserve">le formulaire </w:t>
      </w:r>
      <w:r>
        <w:t>nécessaire à cet effet</w:t>
      </w:r>
      <w:r w:rsidRPr="001E7E51">
        <w:t>) ;</w:t>
      </w:r>
    </w:p>
    <w:p w14:paraId="5C2B4CD7" w14:textId="3029E998" w:rsidR="005A5D4B" w:rsidRPr="001E7E51" w:rsidRDefault="005A5D4B">
      <w:pPr>
        <w:pStyle w:val="ListParagraph"/>
        <w:numPr>
          <w:ilvl w:val="0"/>
          <w:numId w:val="21"/>
        </w:numPr>
        <w:jc w:val="both"/>
      </w:pPr>
      <w:r w:rsidRPr="001E7E51">
        <w:t>Une proposition financière (</w:t>
      </w:r>
      <w:r>
        <w:t>veuillez t</w:t>
      </w:r>
      <w:r w:rsidR="00E37683">
        <w:t xml:space="preserve">rouver en annexe </w:t>
      </w:r>
      <w:r w:rsidRPr="001E7E51">
        <w:t xml:space="preserve">le formulaire </w:t>
      </w:r>
      <w:r>
        <w:t>nécessaire à cet effet</w:t>
      </w:r>
      <w:r w:rsidRPr="001E7E51">
        <w:t>) ;</w:t>
      </w:r>
    </w:p>
    <w:p w14:paraId="042FC9E6" w14:textId="77777777" w:rsidR="005A5D4B" w:rsidRPr="001E7E51" w:rsidRDefault="005A5D4B">
      <w:pPr>
        <w:pStyle w:val="ListParagraph"/>
        <w:numPr>
          <w:ilvl w:val="0"/>
          <w:numId w:val="21"/>
        </w:numPr>
        <w:jc w:val="both"/>
      </w:pPr>
      <w:r w:rsidRPr="001E7E51">
        <w:t>Le CV des memb</w:t>
      </w:r>
      <w:r>
        <w:t>re</w:t>
      </w:r>
      <w:r w:rsidRPr="001E7E51">
        <w:t>s de votre équipe ;</w:t>
      </w:r>
    </w:p>
    <w:p w14:paraId="38611E59" w14:textId="77777777" w:rsidR="005A5D4B" w:rsidRPr="001E7E51" w:rsidRDefault="005A5D4B">
      <w:pPr>
        <w:pStyle w:val="ListParagraph"/>
        <w:numPr>
          <w:ilvl w:val="0"/>
          <w:numId w:val="21"/>
        </w:numPr>
        <w:jc w:val="both"/>
      </w:pPr>
      <w:r>
        <w:t>Les d</w:t>
      </w:r>
      <w:r w:rsidRPr="001E7E51">
        <w:t>ocuments officiels des organisations directement impliquées dans la candidature, y compris le</w:t>
      </w:r>
      <w:r>
        <w:t>urs</w:t>
      </w:r>
      <w:r w:rsidRPr="001E7E51">
        <w:t xml:space="preserve"> statuts </w:t>
      </w:r>
      <w:r>
        <w:t>ainsi que</w:t>
      </w:r>
      <w:r w:rsidRPr="001E7E51">
        <w:t xml:space="preserve"> le</w:t>
      </w:r>
      <w:r>
        <w:t>ur</w:t>
      </w:r>
      <w:r w:rsidRPr="001E7E51">
        <w:t xml:space="preserve"> dernier rapport financier. </w:t>
      </w:r>
    </w:p>
    <w:p w14:paraId="20E5202F" w14:textId="7056A976" w:rsidR="000A6034" w:rsidRDefault="000A6034"/>
    <w:sectPr w:rsidR="000A6034" w:rsidSect="006157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F764" w14:textId="77777777" w:rsidR="00452055" w:rsidRDefault="00452055" w:rsidP="00DB4CC1">
      <w:pPr>
        <w:spacing w:after="0" w:line="240" w:lineRule="auto"/>
      </w:pPr>
      <w:r>
        <w:separator/>
      </w:r>
    </w:p>
  </w:endnote>
  <w:endnote w:type="continuationSeparator" w:id="0">
    <w:p w14:paraId="07EE127F" w14:textId="77777777" w:rsidR="00452055" w:rsidRDefault="00452055" w:rsidP="00DB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7AF7" w14:textId="77777777" w:rsidR="00452055" w:rsidRDefault="00452055" w:rsidP="00DB4CC1">
      <w:pPr>
        <w:spacing w:after="0" w:line="240" w:lineRule="auto"/>
      </w:pPr>
      <w:r>
        <w:separator/>
      </w:r>
    </w:p>
  </w:footnote>
  <w:footnote w:type="continuationSeparator" w:id="0">
    <w:p w14:paraId="709C6842" w14:textId="77777777" w:rsidR="00452055" w:rsidRDefault="00452055" w:rsidP="00DB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66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85C54"/>
    <w:multiLevelType w:val="hybridMultilevel"/>
    <w:tmpl w:val="A8D0A2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7155CC"/>
    <w:multiLevelType w:val="hybridMultilevel"/>
    <w:tmpl w:val="DF66DB9A"/>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A257A"/>
    <w:multiLevelType w:val="hybridMultilevel"/>
    <w:tmpl w:val="D10C4D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A8347B8"/>
    <w:multiLevelType w:val="hybridMultilevel"/>
    <w:tmpl w:val="392A52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E1F49EA"/>
    <w:multiLevelType w:val="hybridMultilevel"/>
    <w:tmpl w:val="C7488DAC"/>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FC1523"/>
    <w:multiLevelType w:val="hybridMultilevel"/>
    <w:tmpl w:val="024A464A"/>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772675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341125"/>
    <w:multiLevelType w:val="hybridMultilevel"/>
    <w:tmpl w:val="EB5CE7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8C964F6"/>
    <w:multiLevelType w:val="multilevel"/>
    <w:tmpl w:val="10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F41EF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B96CD6"/>
    <w:multiLevelType w:val="hybridMultilevel"/>
    <w:tmpl w:val="1772CE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5BC2268"/>
    <w:multiLevelType w:val="hybridMultilevel"/>
    <w:tmpl w:val="02E083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90B0B12"/>
    <w:multiLevelType w:val="hybridMultilevel"/>
    <w:tmpl w:val="801417B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0406208"/>
    <w:multiLevelType w:val="hybridMultilevel"/>
    <w:tmpl w:val="4EB01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766FAA"/>
    <w:multiLevelType w:val="hybridMultilevel"/>
    <w:tmpl w:val="4EB01464"/>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605B5517"/>
    <w:multiLevelType w:val="hybridMultilevel"/>
    <w:tmpl w:val="23D03F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215795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0B67B6"/>
    <w:multiLevelType w:val="hybridMultilevel"/>
    <w:tmpl w:val="1C72C1D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65B57D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6E771F"/>
    <w:multiLevelType w:val="hybridMultilevel"/>
    <w:tmpl w:val="7C960CE0"/>
    <w:lvl w:ilvl="0" w:tplc="100C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3056F2"/>
    <w:multiLevelType w:val="hybridMultilevel"/>
    <w:tmpl w:val="821629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08317644">
    <w:abstractNumId w:val="13"/>
  </w:num>
  <w:num w:numId="2" w16cid:durableId="1496726899">
    <w:abstractNumId w:val="8"/>
  </w:num>
  <w:num w:numId="3" w16cid:durableId="1618875896">
    <w:abstractNumId w:val="18"/>
  </w:num>
  <w:num w:numId="4" w16cid:durableId="166290812">
    <w:abstractNumId w:val="4"/>
  </w:num>
  <w:num w:numId="5" w16cid:durableId="302083043">
    <w:abstractNumId w:val="12"/>
  </w:num>
  <w:num w:numId="6" w16cid:durableId="574052698">
    <w:abstractNumId w:val="1"/>
  </w:num>
  <w:num w:numId="7" w16cid:durableId="542988403">
    <w:abstractNumId w:val="21"/>
  </w:num>
  <w:num w:numId="8" w16cid:durableId="888567791">
    <w:abstractNumId w:val="15"/>
  </w:num>
  <w:num w:numId="9" w16cid:durableId="1959137200">
    <w:abstractNumId w:val="9"/>
  </w:num>
  <w:num w:numId="10" w16cid:durableId="1215850665">
    <w:abstractNumId w:val="19"/>
  </w:num>
  <w:num w:numId="11" w16cid:durableId="917135422">
    <w:abstractNumId w:val="2"/>
  </w:num>
  <w:num w:numId="12" w16cid:durableId="93526679">
    <w:abstractNumId w:val="14"/>
  </w:num>
  <w:num w:numId="13" w16cid:durableId="651371149">
    <w:abstractNumId w:val="20"/>
  </w:num>
  <w:num w:numId="14" w16cid:durableId="1603415668">
    <w:abstractNumId w:val="10"/>
  </w:num>
  <w:num w:numId="15" w16cid:durableId="1761481594">
    <w:abstractNumId w:val="0"/>
  </w:num>
  <w:num w:numId="16" w16cid:durableId="1395471127">
    <w:abstractNumId w:val="17"/>
  </w:num>
  <w:num w:numId="17" w16cid:durableId="1827893631">
    <w:abstractNumId w:val="7"/>
  </w:num>
  <w:num w:numId="18" w16cid:durableId="1779371792">
    <w:abstractNumId w:val="5"/>
  </w:num>
  <w:num w:numId="19" w16cid:durableId="1134524748">
    <w:abstractNumId w:val="6"/>
  </w:num>
  <w:num w:numId="20" w16cid:durableId="1901481417">
    <w:abstractNumId w:val="16"/>
  </w:num>
  <w:num w:numId="21" w16cid:durableId="279269082">
    <w:abstractNumId w:val="11"/>
  </w:num>
  <w:num w:numId="22" w16cid:durableId="141932329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C1"/>
    <w:rsid w:val="0000278F"/>
    <w:rsid w:val="000074E9"/>
    <w:rsid w:val="00011198"/>
    <w:rsid w:val="00012BFB"/>
    <w:rsid w:val="00012D82"/>
    <w:rsid w:val="00015808"/>
    <w:rsid w:val="00043480"/>
    <w:rsid w:val="000460E6"/>
    <w:rsid w:val="00054365"/>
    <w:rsid w:val="00056401"/>
    <w:rsid w:val="00056A7E"/>
    <w:rsid w:val="0005757A"/>
    <w:rsid w:val="000842EC"/>
    <w:rsid w:val="000860FB"/>
    <w:rsid w:val="00087E0C"/>
    <w:rsid w:val="00090D48"/>
    <w:rsid w:val="00097678"/>
    <w:rsid w:val="000A6034"/>
    <w:rsid w:val="000B08DD"/>
    <w:rsid w:val="000B13E1"/>
    <w:rsid w:val="000C708A"/>
    <w:rsid w:val="000C7B06"/>
    <w:rsid w:val="000E32AE"/>
    <w:rsid w:val="00100DC4"/>
    <w:rsid w:val="001025CC"/>
    <w:rsid w:val="00105661"/>
    <w:rsid w:val="00106A14"/>
    <w:rsid w:val="00107C24"/>
    <w:rsid w:val="001116C5"/>
    <w:rsid w:val="00113370"/>
    <w:rsid w:val="00117A5C"/>
    <w:rsid w:val="00117EFE"/>
    <w:rsid w:val="001210DC"/>
    <w:rsid w:val="001305B2"/>
    <w:rsid w:val="00130C2F"/>
    <w:rsid w:val="00131041"/>
    <w:rsid w:val="00143CC6"/>
    <w:rsid w:val="0014460B"/>
    <w:rsid w:val="001478DC"/>
    <w:rsid w:val="00163F46"/>
    <w:rsid w:val="00171F1F"/>
    <w:rsid w:val="00184D8D"/>
    <w:rsid w:val="001855C8"/>
    <w:rsid w:val="001865E5"/>
    <w:rsid w:val="001942BE"/>
    <w:rsid w:val="001B3864"/>
    <w:rsid w:val="001C09A5"/>
    <w:rsid w:val="001C2B0D"/>
    <w:rsid w:val="001C3CA2"/>
    <w:rsid w:val="001C6270"/>
    <w:rsid w:val="001D314B"/>
    <w:rsid w:val="001E0C46"/>
    <w:rsid w:val="001E184D"/>
    <w:rsid w:val="001E227E"/>
    <w:rsid w:val="001E3673"/>
    <w:rsid w:val="001E7E51"/>
    <w:rsid w:val="001F6FA1"/>
    <w:rsid w:val="001F7DED"/>
    <w:rsid w:val="00204872"/>
    <w:rsid w:val="0021175D"/>
    <w:rsid w:val="00211F5D"/>
    <w:rsid w:val="002158FD"/>
    <w:rsid w:val="002217FD"/>
    <w:rsid w:val="00223D73"/>
    <w:rsid w:val="00224613"/>
    <w:rsid w:val="00227D5A"/>
    <w:rsid w:val="002368D5"/>
    <w:rsid w:val="00237BCC"/>
    <w:rsid w:val="002A5BD1"/>
    <w:rsid w:val="002A667E"/>
    <w:rsid w:val="002C6C62"/>
    <w:rsid w:val="002F32FA"/>
    <w:rsid w:val="00301A8A"/>
    <w:rsid w:val="00306A15"/>
    <w:rsid w:val="00317381"/>
    <w:rsid w:val="00335470"/>
    <w:rsid w:val="0034213F"/>
    <w:rsid w:val="003429A0"/>
    <w:rsid w:val="0034313E"/>
    <w:rsid w:val="003644CA"/>
    <w:rsid w:val="00365E47"/>
    <w:rsid w:val="00376311"/>
    <w:rsid w:val="00381FA9"/>
    <w:rsid w:val="00384725"/>
    <w:rsid w:val="00394849"/>
    <w:rsid w:val="003975EB"/>
    <w:rsid w:val="003A432D"/>
    <w:rsid w:val="003B2907"/>
    <w:rsid w:val="003C1E15"/>
    <w:rsid w:val="003C3F73"/>
    <w:rsid w:val="003D5AEA"/>
    <w:rsid w:val="003E2FED"/>
    <w:rsid w:val="003E6BD5"/>
    <w:rsid w:val="003F13F8"/>
    <w:rsid w:val="003F7589"/>
    <w:rsid w:val="00411CE3"/>
    <w:rsid w:val="00414744"/>
    <w:rsid w:val="004261FF"/>
    <w:rsid w:val="004318AA"/>
    <w:rsid w:val="00440C28"/>
    <w:rsid w:val="00452055"/>
    <w:rsid w:val="00453FBB"/>
    <w:rsid w:val="0046607E"/>
    <w:rsid w:val="004676B6"/>
    <w:rsid w:val="004734DA"/>
    <w:rsid w:val="00473580"/>
    <w:rsid w:val="00477A08"/>
    <w:rsid w:val="004854D7"/>
    <w:rsid w:val="00497109"/>
    <w:rsid w:val="00497D1A"/>
    <w:rsid w:val="004A371B"/>
    <w:rsid w:val="004B1EB8"/>
    <w:rsid w:val="004B2F46"/>
    <w:rsid w:val="004C10E3"/>
    <w:rsid w:val="004C16E9"/>
    <w:rsid w:val="004C3E14"/>
    <w:rsid w:val="004D15C9"/>
    <w:rsid w:val="004F6648"/>
    <w:rsid w:val="004F7F69"/>
    <w:rsid w:val="0050050F"/>
    <w:rsid w:val="00512581"/>
    <w:rsid w:val="005236B4"/>
    <w:rsid w:val="00526312"/>
    <w:rsid w:val="005326D4"/>
    <w:rsid w:val="00535BBB"/>
    <w:rsid w:val="005437EB"/>
    <w:rsid w:val="00543D94"/>
    <w:rsid w:val="005637B0"/>
    <w:rsid w:val="00564C2D"/>
    <w:rsid w:val="005657E0"/>
    <w:rsid w:val="00573E21"/>
    <w:rsid w:val="0059145A"/>
    <w:rsid w:val="00597AEE"/>
    <w:rsid w:val="005A5D4B"/>
    <w:rsid w:val="005B3B56"/>
    <w:rsid w:val="005B4475"/>
    <w:rsid w:val="005B7A02"/>
    <w:rsid w:val="005C2A64"/>
    <w:rsid w:val="005D07B1"/>
    <w:rsid w:val="005D3187"/>
    <w:rsid w:val="005D5932"/>
    <w:rsid w:val="005D7173"/>
    <w:rsid w:val="005E1F24"/>
    <w:rsid w:val="005E4E61"/>
    <w:rsid w:val="005F0D6D"/>
    <w:rsid w:val="005F14FA"/>
    <w:rsid w:val="00600A21"/>
    <w:rsid w:val="00600A6C"/>
    <w:rsid w:val="006131FB"/>
    <w:rsid w:val="00615779"/>
    <w:rsid w:val="00621C1E"/>
    <w:rsid w:val="00626A6E"/>
    <w:rsid w:val="006351AD"/>
    <w:rsid w:val="00635C8B"/>
    <w:rsid w:val="0064286A"/>
    <w:rsid w:val="0064762D"/>
    <w:rsid w:val="00657133"/>
    <w:rsid w:val="00666140"/>
    <w:rsid w:val="0066685D"/>
    <w:rsid w:val="006831AF"/>
    <w:rsid w:val="006861D9"/>
    <w:rsid w:val="00690443"/>
    <w:rsid w:val="0069637B"/>
    <w:rsid w:val="006A2AC7"/>
    <w:rsid w:val="006B1847"/>
    <w:rsid w:val="006B4945"/>
    <w:rsid w:val="006B747E"/>
    <w:rsid w:val="006D6090"/>
    <w:rsid w:val="006E04B9"/>
    <w:rsid w:val="006E2836"/>
    <w:rsid w:val="006F26C7"/>
    <w:rsid w:val="006F5BB8"/>
    <w:rsid w:val="006F6A65"/>
    <w:rsid w:val="00701E12"/>
    <w:rsid w:val="00724246"/>
    <w:rsid w:val="00730906"/>
    <w:rsid w:val="00735DF9"/>
    <w:rsid w:val="00746E27"/>
    <w:rsid w:val="00750478"/>
    <w:rsid w:val="00750639"/>
    <w:rsid w:val="0075465B"/>
    <w:rsid w:val="00765563"/>
    <w:rsid w:val="00793C02"/>
    <w:rsid w:val="007A0CE1"/>
    <w:rsid w:val="007B19F5"/>
    <w:rsid w:val="007B7007"/>
    <w:rsid w:val="007C0B34"/>
    <w:rsid w:val="007E3E6B"/>
    <w:rsid w:val="007F1BFB"/>
    <w:rsid w:val="007F3504"/>
    <w:rsid w:val="00800FE1"/>
    <w:rsid w:val="00807FF6"/>
    <w:rsid w:val="00813E31"/>
    <w:rsid w:val="0081777C"/>
    <w:rsid w:val="008213D2"/>
    <w:rsid w:val="008262A8"/>
    <w:rsid w:val="00832E52"/>
    <w:rsid w:val="008430D2"/>
    <w:rsid w:val="0085044A"/>
    <w:rsid w:val="00861125"/>
    <w:rsid w:val="00861D87"/>
    <w:rsid w:val="008646F2"/>
    <w:rsid w:val="008667C4"/>
    <w:rsid w:val="008752D4"/>
    <w:rsid w:val="00884752"/>
    <w:rsid w:val="00891544"/>
    <w:rsid w:val="00897BA0"/>
    <w:rsid w:val="008A045A"/>
    <w:rsid w:val="008A099D"/>
    <w:rsid w:val="008A1D0D"/>
    <w:rsid w:val="008A3328"/>
    <w:rsid w:val="008A46AA"/>
    <w:rsid w:val="008B3343"/>
    <w:rsid w:val="008C7878"/>
    <w:rsid w:val="008D5B1C"/>
    <w:rsid w:val="008E0066"/>
    <w:rsid w:val="008E105E"/>
    <w:rsid w:val="008F0FCA"/>
    <w:rsid w:val="008F79BF"/>
    <w:rsid w:val="00900CE8"/>
    <w:rsid w:val="00902259"/>
    <w:rsid w:val="009277A2"/>
    <w:rsid w:val="00933396"/>
    <w:rsid w:val="009333E4"/>
    <w:rsid w:val="009400BD"/>
    <w:rsid w:val="00945003"/>
    <w:rsid w:val="00960D93"/>
    <w:rsid w:val="00961F38"/>
    <w:rsid w:val="00976FCC"/>
    <w:rsid w:val="0098634C"/>
    <w:rsid w:val="0099017E"/>
    <w:rsid w:val="00991943"/>
    <w:rsid w:val="009941FD"/>
    <w:rsid w:val="00995821"/>
    <w:rsid w:val="009A34BE"/>
    <w:rsid w:val="009B50A7"/>
    <w:rsid w:val="009C7D7C"/>
    <w:rsid w:val="009D308B"/>
    <w:rsid w:val="009D3173"/>
    <w:rsid w:val="009D5E96"/>
    <w:rsid w:val="009E444A"/>
    <w:rsid w:val="00A03C32"/>
    <w:rsid w:val="00A0516B"/>
    <w:rsid w:val="00A0735A"/>
    <w:rsid w:val="00A15DD8"/>
    <w:rsid w:val="00A2022B"/>
    <w:rsid w:val="00A26B30"/>
    <w:rsid w:val="00A37FE3"/>
    <w:rsid w:val="00A42F85"/>
    <w:rsid w:val="00A4398B"/>
    <w:rsid w:val="00A4719A"/>
    <w:rsid w:val="00A7016D"/>
    <w:rsid w:val="00A83DFE"/>
    <w:rsid w:val="00A85641"/>
    <w:rsid w:val="00A85BC8"/>
    <w:rsid w:val="00AA1A75"/>
    <w:rsid w:val="00AA6A4F"/>
    <w:rsid w:val="00AA73C3"/>
    <w:rsid w:val="00AC7CB5"/>
    <w:rsid w:val="00AD1441"/>
    <w:rsid w:val="00AD6B43"/>
    <w:rsid w:val="00B01777"/>
    <w:rsid w:val="00B16ED8"/>
    <w:rsid w:val="00B65014"/>
    <w:rsid w:val="00B72A33"/>
    <w:rsid w:val="00B7470C"/>
    <w:rsid w:val="00B74AE9"/>
    <w:rsid w:val="00B77123"/>
    <w:rsid w:val="00B86A4A"/>
    <w:rsid w:val="00B93AD7"/>
    <w:rsid w:val="00B94F6E"/>
    <w:rsid w:val="00B95939"/>
    <w:rsid w:val="00BA7BC0"/>
    <w:rsid w:val="00BB0461"/>
    <w:rsid w:val="00BB57AB"/>
    <w:rsid w:val="00BC0D35"/>
    <w:rsid w:val="00BD10CB"/>
    <w:rsid w:val="00BE34A1"/>
    <w:rsid w:val="00BF1C38"/>
    <w:rsid w:val="00C33787"/>
    <w:rsid w:val="00C35371"/>
    <w:rsid w:val="00C3778C"/>
    <w:rsid w:val="00C525D6"/>
    <w:rsid w:val="00C71702"/>
    <w:rsid w:val="00C71F73"/>
    <w:rsid w:val="00C75104"/>
    <w:rsid w:val="00C77198"/>
    <w:rsid w:val="00C90E0C"/>
    <w:rsid w:val="00C96F53"/>
    <w:rsid w:val="00CA6556"/>
    <w:rsid w:val="00CB0275"/>
    <w:rsid w:val="00CC06A7"/>
    <w:rsid w:val="00CC78FC"/>
    <w:rsid w:val="00CD018F"/>
    <w:rsid w:val="00CE4061"/>
    <w:rsid w:val="00CF40C9"/>
    <w:rsid w:val="00D146D8"/>
    <w:rsid w:val="00D21601"/>
    <w:rsid w:val="00D30547"/>
    <w:rsid w:val="00D33560"/>
    <w:rsid w:val="00D81B5C"/>
    <w:rsid w:val="00D950E7"/>
    <w:rsid w:val="00DB4CC1"/>
    <w:rsid w:val="00DB6DBA"/>
    <w:rsid w:val="00DB733A"/>
    <w:rsid w:val="00DC727D"/>
    <w:rsid w:val="00DD219F"/>
    <w:rsid w:val="00DD660D"/>
    <w:rsid w:val="00DD6D99"/>
    <w:rsid w:val="00DE31D2"/>
    <w:rsid w:val="00DE5026"/>
    <w:rsid w:val="00DF1FF8"/>
    <w:rsid w:val="00DF4371"/>
    <w:rsid w:val="00DF6F09"/>
    <w:rsid w:val="00E01775"/>
    <w:rsid w:val="00E0761E"/>
    <w:rsid w:val="00E10DC4"/>
    <w:rsid w:val="00E11DCC"/>
    <w:rsid w:val="00E20A6D"/>
    <w:rsid w:val="00E2506F"/>
    <w:rsid w:val="00E27138"/>
    <w:rsid w:val="00E37683"/>
    <w:rsid w:val="00E42E36"/>
    <w:rsid w:val="00E43A69"/>
    <w:rsid w:val="00E518ED"/>
    <w:rsid w:val="00E55430"/>
    <w:rsid w:val="00E63E7B"/>
    <w:rsid w:val="00E64EB8"/>
    <w:rsid w:val="00E8481A"/>
    <w:rsid w:val="00EA3539"/>
    <w:rsid w:val="00EA5015"/>
    <w:rsid w:val="00EB7EAF"/>
    <w:rsid w:val="00ED02CD"/>
    <w:rsid w:val="00ED1F90"/>
    <w:rsid w:val="00ED3617"/>
    <w:rsid w:val="00EF6215"/>
    <w:rsid w:val="00EF6E69"/>
    <w:rsid w:val="00F10EFD"/>
    <w:rsid w:val="00F55BB7"/>
    <w:rsid w:val="00F56B9D"/>
    <w:rsid w:val="00F66410"/>
    <w:rsid w:val="00F664A2"/>
    <w:rsid w:val="00F75D18"/>
    <w:rsid w:val="00F808B7"/>
    <w:rsid w:val="00F9416A"/>
    <w:rsid w:val="00FA38FA"/>
    <w:rsid w:val="00FA52B1"/>
    <w:rsid w:val="00FB100C"/>
    <w:rsid w:val="00FB6674"/>
    <w:rsid w:val="00FE0923"/>
    <w:rsid w:val="00FE0B36"/>
    <w:rsid w:val="00FE3077"/>
    <w:rsid w:val="00FE3CD8"/>
    <w:rsid w:val="00FE73E0"/>
    <w:rsid w:val="00FF1A5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227D"/>
  <w15:chartTrackingRefBased/>
  <w15:docId w15:val="{58F1A39F-8D55-4991-8D08-47FF31C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678"/>
    <w:pPr>
      <w:keepNext/>
      <w:keepLines/>
      <w:spacing w:before="160" w:after="80"/>
      <w:outlineLvl w:val="1"/>
    </w:pPr>
    <w:rPr>
      <w:rFonts w:asciiTheme="majorHAnsi" w:eastAsiaTheme="majorEastAsia" w:hAnsiTheme="majorHAnsi" w:cstheme="majorBidi"/>
      <w:b/>
      <w:color w:val="056C40"/>
      <w:sz w:val="32"/>
      <w:szCs w:val="32"/>
    </w:rPr>
  </w:style>
  <w:style w:type="paragraph" w:styleId="Heading3">
    <w:name w:val="heading 3"/>
    <w:basedOn w:val="Normal"/>
    <w:next w:val="Normal"/>
    <w:link w:val="Heading3Char"/>
    <w:uiPriority w:val="9"/>
    <w:unhideWhenUsed/>
    <w:qFormat/>
    <w:rsid w:val="00BB57AB"/>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DB4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678"/>
    <w:rPr>
      <w:rFonts w:asciiTheme="majorHAnsi" w:eastAsiaTheme="majorEastAsia" w:hAnsiTheme="majorHAnsi" w:cstheme="majorBidi"/>
      <w:b/>
      <w:color w:val="056C40"/>
      <w:sz w:val="32"/>
      <w:szCs w:val="32"/>
    </w:rPr>
  </w:style>
  <w:style w:type="character" w:customStyle="1" w:styleId="Heading3Char">
    <w:name w:val="Heading 3 Char"/>
    <w:basedOn w:val="DefaultParagraphFont"/>
    <w:link w:val="Heading3"/>
    <w:uiPriority w:val="9"/>
    <w:rsid w:val="00BB57AB"/>
    <w:rPr>
      <w:rFonts w:eastAsiaTheme="majorEastAsia" w:cstheme="majorBidi"/>
      <w:b/>
      <w:sz w:val="28"/>
      <w:szCs w:val="28"/>
    </w:rPr>
  </w:style>
  <w:style w:type="character" w:customStyle="1" w:styleId="Heading4Char">
    <w:name w:val="Heading 4 Char"/>
    <w:basedOn w:val="DefaultParagraphFont"/>
    <w:link w:val="Heading4"/>
    <w:uiPriority w:val="9"/>
    <w:semiHidden/>
    <w:rsid w:val="00DB4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C1"/>
    <w:rPr>
      <w:rFonts w:eastAsiaTheme="majorEastAsia" w:cstheme="majorBidi"/>
      <w:color w:val="272727" w:themeColor="text1" w:themeTint="D8"/>
    </w:rPr>
  </w:style>
  <w:style w:type="paragraph" w:styleId="Title">
    <w:name w:val="Title"/>
    <w:basedOn w:val="Normal"/>
    <w:next w:val="Normal"/>
    <w:link w:val="TitleChar"/>
    <w:uiPriority w:val="10"/>
    <w:qFormat/>
    <w:rsid w:val="00DB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C1"/>
    <w:pPr>
      <w:spacing w:before="160"/>
      <w:jc w:val="center"/>
    </w:pPr>
    <w:rPr>
      <w:i/>
      <w:iCs/>
      <w:color w:val="404040" w:themeColor="text1" w:themeTint="BF"/>
    </w:rPr>
  </w:style>
  <w:style w:type="character" w:customStyle="1" w:styleId="QuoteChar">
    <w:name w:val="Quote Char"/>
    <w:basedOn w:val="DefaultParagraphFont"/>
    <w:link w:val="Quote"/>
    <w:uiPriority w:val="29"/>
    <w:rsid w:val="00DB4CC1"/>
    <w:rPr>
      <w:i/>
      <w:iCs/>
      <w:color w:val="404040" w:themeColor="text1" w:themeTint="BF"/>
    </w:rPr>
  </w:style>
  <w:style w:type="paragraph" w:styleId="ListParagraph">
    <w:name w:val="List Paragraph"/>
    <w:basedOn w:val="Normal"/>
    <w:uiPriority w:val="34"/>
    <w:qFormat/>
    <w:rsid w:val="00DB4CC1"/>
    <w:pPr>
      <w:ind w:left="720"/>
      <w:contextualSpacing/>
    </w:pPr>
  </w:style>
  <w:style w:type="character" w:styleId="IntenseEmphasis">
    <w:name w:val="Intense Emphasis"/>
    <w:basedOn w:val="DefaultParagraphFont"/>
    <w:uiPriority w:val="21"/>
    <w:qFormat/>
    <w:rsid w:val="00DB4CC1"/>
    <w:rPr>
      <w:i/>
      <w:iCs/>
      <w:color w:val="0F4761" w:themeColor="accent1" w:themeShade="BF"/>
    </w:rPr>
  </w:style>
  <w:style w:type="paragraph" w:styleId="IntenseQuote">
    <w:name w:val="Intense Quote"/>
    <w:basedOn w:val="Normal"/>
    <w:next w:val="Normal"/>
    <w:link w:val="IntenseQuoteChar"/>
    <w:uiPriority w:val="30"/>
    <w:qFormat/>
    <w:rsid w:val="00DB4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CC1"/>
    <w:rPr>
      <w:i/>
      <w:iCs/>
      <w:color w:val="0F4761" w:themeColor="accent1" w:themeShade="BF"/>
    </w:rPr>
  </w:style>
  <w:style w:type="character" w:styleId="IntenseReference">
    <w:name w:val="Intense Reference"/>
    <w:basedOn w:val="DefaultParagraphFont"/>
    <w:uiPriority w:val="32"/>
    <w:qFormat/>
    <w:rsid w:val="00DB4CC1"/>
    <w:rPr>
      <w:b/>
      <w:bCs/>
      <w:smallCaps/>
      <w:color w:val="0F4761" w:themeColor="accent1" w:themeShade="BF"/>
      <w:spacing w:val="5"/>
    </w:rPr>
  </w:style>
  <w:style w:type="paragraph" w:styleId="Header">
    <w:name w:val="header"/>
    <w:basedOn w:val="Normal"/>
    <w:link w:val="HeaderChar"/>
    <w:uiPriority w:val="99"/>
    <w:unhideWhenUsed/>
    <w:rsid w:val="00DB4C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CC1"/>
  </w:style>
  <w:style w:type="paragraph" w:styleId="Footer">
    <w:name w:val="footer"/>
    <w:basedOn w:val="Normal"/>
    <w:link w:val="FooterChar"/>
    <w:uiPriority w:val="99"/>
    <w:unhideWhenUsed/>
    <w:rsid w:val="00DB4C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CC1"/>
  </w:style>
  <w:style w:type="paragraph" w:styleId="Date">
    <w:name w:val="Date"/>
    <w:basedOn w:val="Normal"/>
    <w:next w:val="Normal"/>
    <w:link w:val="DateChar"/>
    <w:uiPriority w:val="99"/>
    <w:semiHidden/>
    <w:unhideWhenUsed/>
    <w:rsid w:val="00DB4CC1"/>
  </w:style>
  <w:style w:type="character" w:customStyle="1" w:styleId="DateChar">
    <w:name w:val="Date Char"/>
    <w:basedOn w:val="DefaultParagraphFont"/>
    <w:link w:val="Date"/>
    <w:uiPriority w:val="99"/>
    <w:semiHidden/>
    <w:rsid w:val="00DB4CC1"/>
  </w:style>
  <w:style w:type="character" w:styleId="CommentReference">
    <w:name w:val="annotation reference"/>
    <w:basedOn w:val="DefaultParagraphFont"/>
    <w:uiPriority w:val="99"/>
    <w:semiHidden/>
    <w:unhideWhenUsed/>
    <w:rsid w:val="005437EB"/>
    <w:rPr>
      <w:sz w:val="16"/>
      <w:szCs w:val="16"/>
    </w:rPr>
  </w:style>
  <w:style w:type="paragraph" w:styleId="CommentText">
    <w:name w:val="annotation text"/>
    <w:basedOn w:val="Normal"/>
    <w:link w:val="CommentTextChar"/>
    <w:uiPriority w:val="99"/>
    <w:unhideWhenUsed/>
    <w:rsid w:val="005437EB"/>
    <w:pPr>
      <w:spacing w:line="240" w:lineRule="auto"/>
    </w:pPr>
    <w:rPr>
      <w:sz w:val="20"/>
      <w:szCs w:val="20"/>
    </w:rPr>
  </w:style>
  <w:style w:type="character" w:customStyle="1" w:styleId="CommentTextChar">
    <w:name w:val="Comment Text Char"/>
    <w:basedOn w:val="DefaultParagraphFont"/>
    <w:link w:val="CommentText"/>
    <w:uiPriority w:val="99"/>
    <w:rsid w:val="005437EB"/>
    <w:rPr>
      <w:sz w:val="20"/>
      <w:szCs w:val="20"/>
    </w:rPr>
  </w:style>
  <w:style w:type="paragraph" w:styleId="CommentSubject">
    <w:name w:val="annotation subject"/>
    <w:basedOn w:val="CommentText"/>
    <w:next w:val="CommentText"/>
    <w:link w:val="CommentSubjectChar"/>
    <w:uiPriority w:val="99"/>
    <w:semiHidden/>
    <w:unhideWhenUsed/>
    <w:rsid w:val="005437EB"/>
    <w:rPr>
      <w:b/>
      <w:bCs/>
    </w:rPr>
  </w:style>
  <w:style w:type="character" w:customStyle="1" w:styleId="CommentSubjectChar">
    <w:name w:val="Comment Subject Char"/>
    <w:basedOn w:val="CommentTextChar"/>
    <w:link w:val="CommentSubject"/>
    <w:uiPriority w:val="99"/>
    <w:semiHidden/>
    <w:rsid w:val="005437EB"/>
    <w:rPr>
      <w:b/>
      <w:bCs/>
      <w:sz w:val="20"/>
      <w:szCs w:val="20"/>
    </w:rPr>
  </w:style>
  <w:style w:type="character" w:styleId="Hyperlink">
    <w:name w:val="Hyperlink"/>
    <w:basedOn w:val="DefaultParagraphFont"/>
    <w:uiPriority w:val="99"/>
    <w:unhideWhenUsed/>
    <w:rsid w:val="000842EC"/>
    <w:rPr>
      <w:color w:val="467886" w:themeColor="hyperlink"/>
      <w:u w:val="single"/>
    </w:rPr>
  </w:style>
  <w:style w:type="character" w:styleId="UnresolvedMention">
    <w:name w:val="Unresolved Mention"/>
    <w:basedOn w:val="DefaultParagraphFont"/>
    <w:uiPriority w:val="99"/>
    <w:semiHidden/>
    <w:unhideWhenUsed/>
    <w:rsid w:val="000842EC"/>
    <w:rPr>
      <w:color w:val="605E5C"/>
      <w:shd w:val="clear" w:color="auto" w:fill="E1DFDD"/>
    </w:rPr>
  </w:style>
  <w:style w:type="numbering" w:customStyle="1" w:styleId="Style1">
    <w:name w:val="Style1"/>
    <w:uiPriority w:val="99"/>
    <w:rsid w:val="00497D1A"/>
    <w:pPr>
      <w:numPr>
        <w:numId w:val="9"/>
      </w:numPr>
    </w:pPr>
  </w:style>
  <w:style w:type="paragraph" w:styleId="TOCHeading">
    <w:name w:val="TOC Heading"/>
    <w:basedOn w:val="Heading1"/>
    <w:next w:val="Normal"/>
    <w:uiPriority w:val="39"/>
    <w:unhideWhenUsed/>
    <w:qFormat/>
    <w:rsid w:val="00CF40C9"/>
    <w:pPr>
      <w:spacing w:before="240" w:after="0" w:line="259" w:lineRule="auto"/>
      <w:outlineLvl w:val="9"/>
    </w:pPr>
    <w:rPr>
      <w:kern w:val="0"/>
      <w:sz w:val="32"/>
      <w:szCs w:val="32"/>
      <w:lang w:val="en-US" w:eastAsia="en-US"/>
      <w14:ligatures w14:val="none"/>
    </w:rPr>
  </w:style>
  <w:style w:type="paragraph" w:styleId="TOC2">
    <w:name w:val="toc 2"/>
    <w:basedOn w:val="Normal"/>
    <w:next w:val="Normal"/>
    <w:autoRedefine/>
    <w:uiPriority w:val="39"/>
    <w:unhideWhenUsed/>
    <w:rsid w:val="00CF40C9"/>
    <w:pPr>
      <w:spacing w:after="100"/>
      <w:ind w:left="240"/>
    </w:pPr>
  </w:style>
  <w:style w:type="paragraph" w:styleId="TOC3">
    <w:name w:val="toc 3"/>
    <w:basedOn w:val="Normal"/>
    <w:next w:val="Normal"/>
    <w:autoRedefine/>
    <w:uiPriority w:val="39"/>
    <w:unhideWhenUsed/>
    <w:rsid w:val="00CF40C9"/>
    <w:pPr>
      <w:spacing w:after="100"/>
      <w:ind w:left="480"/>
    </w:pPr>
  </w:style>
  <w:style w:type="table" w:styleId="TableGrid">
    <w:name w:val="Table Grid"/>
    <w:basedOn w:val="TableNormal"/>
    <w:uiPriority w:val="39"/>
    <w:rsid w:val="003B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CA"/>
    <w:rPr>
      <w:sz w:val="20"/>
      <w:szCs w:val="20"/>
    </w:rPr>
  </w:style>
  <w:style w:type="character" w:styleId="FootnoteReference">
    <w:name w:val="footnote reference"/>
    <w:basedOn w:val="DefaultParagraphFont"/>
    <w:uiPriority w:val="99"/>
    <w:semiHidden/>
    <w:unhideWhenUsed/>
    <w:rsid w:val="003644CA"/>
    <w:rPr>
      <w:vertAlign w:val="superscript"/>
    </w:rPr>
  </w:style>
  <w:style w:type="paragraph" w:styleId="Revision">
    <w:name w:val="Revision"/>
    <w:hidden/>
    <w:uiPriority w:val="99"/>
    <w:semiHidden/>
    <w:rsid w:val="00AD6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B48B-A1F9-4D0C-BFBC-53A8348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2453</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Clavien</dc:creator>
  <cp:keywords/>
  <dc:description/>
  <cp:lastModifiedBy>Fabrice Clavien</cp:lastModifiedBy>
  <cp:revision>5</cp:revision>
  <dcterms:created xsi:type="dcterms:W3CDTF">2026-05-19T16:09:00Z</dcterms:created>
  <dcterms:modified xsi:type="dcterms:W3CDTF">2026-05-20T09:25:00Z</dcterms:modified>
</cp:coreProperties>
</file>